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2B2B" w14:textId="77777777" w:rsidR="00424C98" w:rsidRDefault="00424C98" w:rsidP="00424C98"/>
    <w:p w14:paraId="286C462D" w14:textId="77777777" w:rsidR="00424C98" w:rsidRPr="00081E6A" w:rsidRDefault="00424C98" w:rsidP="00424C98">
      <w:pPr>
        <w:numPr>
          <w:ilvl w:val="0"/>
          <w:numId w:val="10"/>
        </w:numPr>
        <w:rPr>
          <w:rFonts w:ascii="Open Sans" w:hAnsi="Open Sans" w:cs="Open Sans"/>
          <w:b/>
          <w:bCs/>
          <w:sz w:val="20"/>
          <w:szCs w:val="21"/>
        </w:rPr>
      </w:pPr>
      <w:r w:rsidRPr="00081E6A">
        <w:rPr>
          <w:rFonts w:ascii="Open Sans" w:hAnsi="Open Sans" w:cs="Open Sans"/>
          <w:b/>
          <w:bCs/>
          <w:sz w:val="20"/>
          <w:szCs w:val="21"/>
        </w:rPr>
        <w:t>Who Should Attend:</w:t>
      </w:r>
    </w:p>
    <w:p w14:paraId="5CCCE91D"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CEO</w:t>
      </w:r>
    </w:p>
    <w:p w14:paraId="3C17E34A"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Senior Leadership</w:t>
      </w:r>
    </w:p>
    <w:p w14:paraId="7B775AFB"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Program/Department leaders</w:t>
      </w:r>
    </w:p>
    <w:p w14:paraId="2CEA4BDE"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Quality staff</w:t>
      </w:r>
    </w:p>
    <w:p w14:paraId="336D40B7"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Others as desired</w:t>
      </w:r>
    </w:p>
    <w:p w14:paraId="2740E402" w14:textId="77777777" w:rsidR="00424C98" w:rsidRDefault="00424C98" w:rsidP="00424C98">
      <w:pPr>
        <w:rPr>
          <w:rFonts w:ascii="Open Sans" w:hAnsi="Open Sans" w:cs="Open Sans"/>
          <w:b/>
          <w:bCs/>
          <w:sz w:val="20"/>
          <w:szCs w:val="21"/>
        </w:rPr>
      </w:pPr>
    </w:p>
    <w:p w14:paraId="015887BF" w14:textId="33999DA0" w:rsidR="00424C98" w:rsidRPr="00424C98" w:rsidRDefault="00424C98" w:rsidP="00424C98">
      <w:pPr>
        <w:rPr>
          <w:rFonts w:ascii="Open Sans" w:hAnsi="Open Sans" w:cs="Open Sans"/>
          <w:b/>
          <w:bCs/>
          <w:sz w:val="20"/>
          <w:szCs w:val="21"/>
        </w:rPr>
      </w:pPr>
      <w:r w:rsidRPr="00424C98">
        <w:rPr>
          <w:rFonts w:ascii="Open Sans" w:hAnsi="Open Sans" w:cs="Open Sans"/>
          <w:b/>
          <w:bCs/>
          <w:sz w:val="20"/>
          <w:szCs w:val="21"/>
        </w:rPr>
        <w:t>Daily Briefing</w:t>
      </w:r>
    </w:p>
    <w:p w14:paraId="3C5C6701" w14:textId="77777777" w:rsidR="00424C98" w:rsidRPr="00424C98" w:rsidRDefault="00424C98" w:rsidP="00424C98">
      <w:pPr>
        <w:numPr>
          <w:ilvl w:val="0"/>
          <w:numId w:val="10"/>
        </w:numPr>
        <w:rPr>
          <w:rFonts w:ascii="Open Sans" w:hAnsi="Open Sans" w:cs="Open Sans"/>
          <w:sz w:val="20"/>
          <w:szCs w:val="21"/>
        </w:rPr>
      </w:pPr>
      <w:r w:rsidRPr="00424C98">
        <w:rPr>
          <w:rFonts w:ascii="Open Sans" w:hAnsi="Open Sans" w:cs="Open Sans"/>
          <w:sz w:val="20"/>
          <w:szCs w:val="21"/>
        </w:rPr>
        <w:t>Content: 30-minutes</w:t>
      </w:r>
    </w:p>
    <w:p w14:paraId="3FE8692E"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Overview of prior days activities</w:t>
      </w:r>
    </w:p>
    <w:p w14:paraId="5217EA84"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Surveyors note significant observations from the prior day, potential non-compliance, trends/patterns of non-compliance</w:t>
      </w:r>
    </w:p>
    <w:p w14:paraId="7A8CBDDD" w14:textId="77777777" w:rsidR="00424C98" w:rsidRP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Organization opportunity to clarify and observations, provide additional information, share corrective actions already in place</w:t>
      </w:r>
    </w:p>
    <w:p w14:paraId="045CC76B" w14:textId="77777777" w:rsidR="00424C98" w:rsidRDefault="00424C98" w:rsidP="00424C98">
      <w:pPr>
        <w:numPr>
          <w:ilvl w:val="1"/>
          <w:numId w:val="10"/>
        </w:numPr>
        <w:rPr>
          <w:rFonts w:ascii="Open Sans" w:hAnsi="Open Sans" w:cs="Open Sans"/>
          <w:sz w:val="20"/>
          <w:szCs w:val="21"/>
        </w:rPr>
      </w:pPr>
      <w:r w:rsidRPr="00424C98">
        <w:rPr>
          <w:rFonts w:ascii="Open Sans" w:hAnsi="Open Sans" w:cs="Open Sans"/>
          <w:sz w:val="20"/>
          <w:szCs w:val="21"/>
        </w:rPr>
        <w:t>Organization should request a Special Issue Resolution if additional time is needed to clarify in depth and specific observations</w:t>
      </w:r>
    </w:p>
    <w:p w14:paraId="24B039CC" w14:textId="77777777" w:rsidR="008749D2" w:rsidRPr="00FB18DC" w:rsidRDefault="008749D2" w:rsidP="008749D2">
      <w:pPr>
        <w:rPr>
          <w:rFonts w:ascii="Open Sans" w:hAnsi="Open Sans" w:cs="Open Sans"/>
          <w:b/>
          <w:bCs/>
          <w:sz w:val="20"/>
          <w:szCs w:val="21"/>
        </w:rPr>
      </w:pPr>
      <w:r w:rsidRPr="00FB18DC">
        <w:rPr>
          <w:rFonts w:ascii="Open Sans" w:hAnsi="Open Sans" w:cs="Open Sans"/>
          <w:b/>
          <w:bCs/>
          <w:sz w:val="20"/>
          <w:szCs w:val="21"/>
        </w:rPr>
        <w:t>Issue Resolution</w:t>
      </w:r>
      <w:r>
        <w:rPr>
          <w:rFonts w:ascii="Open Sans" w:hAnsi="Open Sans" w:cs="Open Sans"/>
          <w:b/>
          <w:bCs/>
          <w:sz w:val="20"/>
          <w:szCs w:val="21"/>
        </w:rPr>
        <w:t>:</w:t>
      </w:r>
    </w:p>
    <w:p w14:paraId="17A60920" w14:textId="7A89BBFB" w:rsidR="008749D2" w:rsidRPr="008749D2" w:rsidRDefault="008749D2" w:rsidP="008749D2">
      <w:pPr>
        <w:pStyle w:val="ListParagraph"/>
        <w:numPr>
          <w:ilvl w:val="0"/>
          <w:numId w:val="10"/>
        </w:numPr>
        <w:rPr>
          <w:rFonts w:ascii="Open Sans" w:hAnsi="Open Sans" w:cs="Open Sans"/>
          <w:sz w:val="20"/>
          <w:szCs w:val="21"/>
        </w:rPr>
      </w:pPr>
    </w:p>
    <w:p w14:paraId="57B8C513" w14:textId="77777777" w:rsidR="008749D2" w:rsidRDefault="008749D2" w:rsidP="008749D2">
      <w:pPr>
        <w:numPr>
          <w:ilvl w:val="1"/>
          <w:numId w:val="10"/>
        </w:numPr>
        <w:rPr>
          <w:rFonts w:ascii="Open Sans" w:hAnsi="Open Sans" w:cs="Open Sans"/>
          <w:sz w:val="20"/>
          <w:szCs w:val="21"/>
        </w:rPr>
      </w:pPr>
      <w:r w:rsidRPr="00587181">
        <w:rPr>
          <w:rFonts w:ascii="Open Sans" w:hAnsi="Open Sans" w:cs="Open Sans"/>
          <w:sz w:val="20"/>
          <w:szCs w:val="21"/>
        </w:rPr>
        <w:t>Organization should request a Special Issue Resolution if additional time is needed to clarify in depth an</w:t>
      </w:r>
      <w:r>
        <w:rPr>
          <w:rFonts w:ascii="Open Sans" w:hAnsi="Open Sans" w:cs="Open Sans"/>
          <w:sz w:val="20"/>
          <w:szCs w:val="21"/>
        </w:rPr>
        <w:t>y</w:t>
      </w:r>
      <w:r w:rsidRPr="00587181">
        <w:rPr>
          <w:rFonts w:ascii="Open Sans" w:hAnsi="Open Sans" w:cs="Open Sans"/>
          <w:sz w:val="20"/>
          <w:szCs w:val="21"/>
        </w:rPr>
        <w:t xml:space="preserve"> specific observations</w:t>
      </w:r>
    </w:p>
    <w:p w14:paraId="666D496F" w14:textId="77777777" w:rsidR="008749D2" w:rsidRDefault="008749D2" w:rsidP="008749D2">
      <w:pPr>
        <w:numPr>
          <w:ilvl w:val="1"/>
          <w:numId w:val="10"/>
        </w:numPr>
        <w:rPr>
          <w:rFonts w:ascii="Open Sans" w:hAnsi="Open Sans" w:cs="Open Sans"/>
          <w:sz w:val="20"/>
          <w:szCs w:val="21"/>
        </w:rPr>
      </w:pPr>
      <w:r>
        <w:rPr>
          <w:rFonts w:ascii="Open Sans" w:hAnsi="Open Sans" w:cs="Open Sans"/>
          <w:sz w:val="20"/>
          <w:szCs w:val="21"/>
        </w:rPr>
        <w:t>Organization should prepare materials demonstrating evidence of compliance with the standard/EP finding in question</w:t>
      </w:r>
    </w:p>
    <w:p w14:paraId="5348A35E" w14:textId="22BAF7F0" w:rsidR="008749D2" w:rsidRPr="008749D2" w:rsidRDefault="008749D2" w:rsidP="008749D2">
      <w:pPr>
        <w:numPr>
          <w:ilvl w:val="1"/>
          <w:numId w:val="10"/>
        </w:numPr>
        <w:rPr>
          <w:rFonts w:ascii="Open Sans" w:hAnsi="Open Sans" w:cs="Open Sans"/>
          <w:sz w:val="20"/>
          <w:szCs w:val="21"/>
        </w:rPr>
      </w:pPr>
      <w:r>
        <w:rPr>
          <w:rFonts w:ascii="Open Sans" w:hAnsi="Open Sans" w:cs="Open Sans"/>
          <w:sz w:val="20"/>
          <w:szCs w:val="21"/>
        </w:rPr>
        <w:t xml:space="preserve">Organizations should request a conference with a SIG team member at TJC if the issue remains unresolved.  It is important to seek resolution of the issue prior to the surveyor (s) exiting the survey.  Utilizing SIG is an important mechanism in achieving this goal.  </w:t>
      </w:r>
    </w:p>
    <w:p w14:paraId="6B835F43" w14:textId="77777777" w:rsidR="00424C98" w:rsidRDefault="00424C98" w:rsidP="00424C98">
      <w:pPr>
        <w:rPr>
          <w:rFonts w:ascii="Open Sans" w:hAnsi="Open Sans" w:cs="Open Sans"/>
          <w:b/>
          <w:bCs/>
          <w:sz w:val="20"/>
          <w:szCs w:val="21"/>
        </w:rPr>
      </w:pPr>
    </w:p>
    <w:p w14:paraId="765AF835" w14:textId="7C83E8B5" w:rsidR="00424C98" w:rsidRPr="00424C98" w:rsidRDefault="00424C98" w:rsidP="00424C98">
      <w:pPr>
        <w:rPr>
          <w:rFonts w:ascii="Open Sans" w:hAnsi="Open Sans" w:cs="Open Sans"/>
          <w:sz w:val="20"/>
          <w:szCs w:val="21"/>
        </w:rPr>
      </w:pPr>
      <w:r w:rsidRPr="00424C98">
        <w:rPr>
          <w:rFonts w:ascii="Open Sans" w:hAnsi="Open Sans" w:cs="Open Sans"/>
          <w:b/>
          <w:bCs/>
          <w:sz w:val="20"/>
          <w:szCs w:val="21"/>
        </w:rPr>
        <w:t>CEO Briefing (If needed or requested) – CEO only</w:t>
      </w:r>
    </w:p>
    <w:p w14:paraId="1AF10D21" w14:textId="77777777" w:rsidR="00424C98" w:rsidRPr="00424C98" w:rsidRDefault="00424C98" w:rsidP="008749D2">
      <w:pPr>
        <w:numPr>
          <w:ilvl w:val="0"/>
          <w:numId w:val="10"/>
        </w:numPr>
        <w:rPr>
          <w:rFonts w:ascii="Open Sans" w:hAnsi="Open Sans" w:cs="Open Sans"/>
          <w:sz w:val="20"/>
          <w:szCs w:val="21"/>
        </w:rPr>
      </w:pPr>
      <w:r w:rsidRPr="00424C98">
        <w:rPr>
          <w:rFonts w:ascii="Open Sans" w:hAnsi="Open Sans" w:cs="Open Sans"/>
          <w:sz w:val="20"/>
          <w:szCs w:val="21"/>
        </w:rPr>
        <w:t>Content:  15 – 30 minutes</w:t>
      </w:r>
    </w:p>
    <w:p w14:paraId="2C9178D7"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t xml:space="preserve">Inform the CEO </w:t>
      </w:r>
    </w:p>
    <w:p w14:paraId="63D59F61"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High risk findings that could result in an adverse decision</w:t>
      </w:r>
    </w:p>
    <w:p w14:paraId="15502CD3"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Any potential f/u actions that will be taken</w:t>
      </w:r>
    </w:p>
    <w:p w14:paraId="3FD4534C"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Any findings that would stop the survey</w:t>
      </w:r>
    </w:p>
    <w:p w14:paraId="4F8C70BC"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Review the survey findings if requested prior to the Exit</w:t>
      </w:r>
    </w:p>
    <w:p w14:paraId="59CDCC3D"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Discuss any concerns about the report</w:t>
      </w:r>
    </w:p>
    <w:p w14:paraId="4721283C"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Determine if the CEO wants the surveyors to provide the Exit Briefing or the CEO prefers to do that privately</w:t>
      </w:r>
    </w:p>
    <w:p w14:paraId="5E116B19" w14:textId="77777777" w:rsidR="00424C98" w:rsidRPr="00424C98" w:rsidRDefault="00424C98" w:rsidP="008749D2">
      <w:pPr>
        <w:numPr>
          <w:ilvl w:val="2"/>
          <w:numId w:val="10"/>
        </w:numPr>
        <w:rPr>
          <w:rFonts w:ascii="Open Sans" w:hAnsi="Open Sans" w:cs="Open Sans"/>
          <w:sz w:val="20"/>
          <w:szCs w:val="21"/>
        </w:rPr>
      </w:pPr>
      <w:r w:rsidRPr="00424C98">
        <w:rPr>
          <w:rFonts w:ascii="Open Sans" w:hAnsi="Open Sans" w:cs="Open Sans"/>
          <w:sz w:val="20"/>
          <w:szCs w:val="21"/>
        </w:rPr>
        <w:t>other</w:t>
      </w:r>
    </w:p>
    <w:p w14:paraId="24A6F1DE" w14:textId="77777777" w:rsidR="00424C98" w:rsidRDefault="00424C98" w:rsidP="00424C98">
      <w:pPr>
        <w:rPr>
          <w:rFonts w:ascii="Open Sans" w:hAnsi="Open Sans" w:cs="Open Sans"/>
          <w:b/>
          <w:bCs/>
          <w:sz w:val="20"/>
          <w:szCs w:val="21"/>
        </w:rPr>
      </w:pPr>
    </w:p>
    <w:p w14:paraId="5D468E19" w14:textId="29EA82C1" w:rsidR="00424C98" w:rsidRPr="00424C98" w:rsidRDefault="00424C98" w:rsidP="00424C98">
      <w:pPr>
        <w:rPr>
          <w:rFonts w:ascii="Open Sans" w:hAnsi="Open Sans" w:cs="Open Sans"/>
          <w:sz w:val="20"/>
          <w:szCs w:val="21"/>
        </w:rPr>
      </w:pPr>
      <w:r w:rsidRPr="00424C98">
        <w:rPr>
          <w:rFonts w:ascii="Open Sans" w:hAnsi="Open Sans" w:cs="Open Sans"/>
          <w:b/>
          <w:bCs/>
          <w:sz w:val="20"/>
          <w:szCs w:val="21"/>
        </w:rPr>
        <w:t>Exit Conference</w:t>
      </w:r>
    </w:p>
    <w:p w14:paraId="76C6441F" w14:textId="77777777" w:rsidR="00424C98" w:rsidRPr="00424C98" w:rsidRDefault="00424C98" w:rsidP="008749D2">
      <w:pPr>
        <w:numPr>
          <w:ilvl w:val="0"/>
          <w:numId w:val="10"/>
        </w:numPr>
        <w:rPr>
          <w:rFonts w:ascii="Open Sans" w:hAnsi="Open Sans" w:cs="Open Sans"/>
          <w:sz w:val="20"/>
          <w:szCs w:val="21"/>
        </w:rPr>
      </w:pPr>
      <w:r w:rsidRPr="00424C98">
        <w:rPr>
          <w:rFonts w:ascii="Open Sans" w:hAnsi="Open Sans" w:cs="Open Sans"/>
          <w:sz w:val="20"/>
          <w:szCs w:val="21"/>
        </w:rPr>
        <w:t>Content:  30 minutes</w:t>
      </w:r>
    </w:p>
    <w:p w14:paraId="2F3060CF"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t>Surveyor(s) summarize the Survey Findings Report – typically focus on high risk, trends/patterns, systemic issues</w:t>
      </w:r>
    </w:p>
    <w:p w14:paraId="6DFEAF4D"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t>Review any identified standards compliance issues as requested by the organization – present any final evidence of compliance before the surveyors leave the organization</w:t>
      </w:r>
    </w:p>
    <w:p w14:paraId="5E980F76"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t>Explain the SAFER Matrix and how to use</w:t>
      </w:r>
    </w:p>
    <w:p w14:paraId="0A9610B1"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lastRenderedPageBreak/>
        <w:t>Explain the ESC process – refer the organization to the “What Happens After Your Survey” section on the extranet site and the Account Executive and SIG for support</w:t>
      </w:r>
    </w:p>
    <w:p w14:paraId="3A0AFC37" w14:textId="77777777" w:rsidR="00424C98" w:rsidRPr="00424C98" w:rsidRDefault="00424C98" w:rsidP="008749D2">
      <w:pPr>
        <w:numPr>
          <w:ilvl w:val="1"/>
          <w:numId w:val="10"/>
        </w:numPr>
        <w:rPr>
          <w:rFonts w:ascii="Open Sans" w:hAnsi="Open Sans" w:cs="Open Sans"/>
          <w:sz w:val="20"/>
          <w:szCs w:val="21"/>
        </w:rPr>
      </w:pPr>
      <w:r w:rsidRPr="00424C98">
        <w:rPr>
          <w:rFonts w:ascii="Open Sans" w:hAnsi="Open Sans" w:cs="Open Sans"/>
          <w:sz w:val="20"/>
          <w:szCs w:val="21"/>
        </w:rPr>
        <w:t>If a surveyor(s) on the team is departing early, he/she/they may request an Interim Exit Conference</w:t>
      </w:r>
    </w:p>
    <w:p w14:paraId="2CC3BCD9" w14:textId="049CD507" w:rsidR="00C831D3" w:rsidRPr="00252461" w:rsidRDefault="00C831D3" w:rsidP="00424C98">
      <w:pPr>
        <w:rPr>
          <w:rFonts w:ascii="Open Sans" w:hAnsi="Open Sans" w:cs="Open Sans"/>
          <w:sz w:val="20"/>
          <w:szCs w:val="21"/>
        </w:rPr>
      </w:pPr>
    </w:p>
    <w:sectPr w:rsidR="00C831D3" w:rsidRPr="00252461" w:rsidSect="00C831D3">
      <w:headerReference w:type="default" r:id="rId11"/>
      <w:footerReference w:type="even" r:id="rId12"/>
      <w:footerReference w:type="default" r:id="rId13"/>
      <w:headerReference w:type="first" r:id="rId14"/>
      <w:footerReference w:type="first" r:id="rId15"/>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EndPr>
      <w:rPr>
        <w:rStyle w:val="PageNumber"/>
      </w:rPr>
    </w:sdtEnd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CD197C">
    <w:pPr>
      <w:pStyle w:val="Footer"/>
      <w:tabs>
        <w:tab w:val="clear" w:pos="4680"/>
        <w:tab w:val="clear" w:pos="9360"/>
        <w:tab w:val="center" w:pos="540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pen Sans Light" w:hAnsi="Open Sans Light" w:cs="Open Sans Light"/>
        <w:i/>
        <w:iCs/>
        <w:sz w:val="15"/>
        <w:szCs w:val="15"/>
      </w:rPr>
      <w:id w:val="-907988231"/>
      <w:docPartObj>
        <w:docPartGallery w:val="Page Numbers (Bottom of Page)"/>
        <w:docPartUnique/>
      </w:docPartObj>
    </w:sdtPr>
    <w:sdtEndPr>
      <w:rPr>
        <w:rStyle w:val="PageNumber"/>
      </w:rPr>
    </w:sdtEndPr>
    <w:sdtContent>
      <w:p w14:paraId="65A550E4" w14:textId="77777777" w:rsidR="004A632C" w:rsidRPr="005A3FEF" w:rsidRDefault="004A632C" w:rsidP="004A632C">
        <w:pPr>
          <w:pStyle w:val="Footer"/>
          <w:framePr w:wrap="none" w:vAnchor="text" w:hAnchor="margin" w:xAlign="right" w:y="1"/>
          <w:rPr>
            <w:rStyle w:val="PageNumber"/>
            <w:rFonts w:ascii="Open Sans Light" w:hAnsi="Open Sans Light" w:cs="Open Sans Light"/>
            <w:i/>
            <w:iCs/>
            <w:sz w:val="15"/>
            <w:szCs w:val="15"/>
          </w:rPr>
        </w:pPr>
        <w:r w:rsidRPr="005A3FEF">
          <w:rPr>
            <w:rStyle w:val="PageNumber"/>
            <w:rFonts w:ascii="Open Sans Light" w:hAnsi="Open Sans Light" w:cs="Open Sans Light"/>
            <w:i/>
            <w:iCs/>
            <w:sz w:val="15"/>
            <w:szCs w:val="15"/>
          </w:rPr>
          <w:t xml:space="preserve">Page </w:t>
        </w:r>
        <w:r w:rsidRPr="005A3FEF">
          <w:rPr>
            <w:rStyle w:val="PageNumber"/>
            <w:rFonts w:ascii="Open Sans Light" w:hAnsi="Open Sans Light" w:cs="Open Sans Light"/>
            <w:i/>
            <w:iCs/>
            <w:sz w:val="15"/>
            <w:szCs w:val="15"/>
          </w:rPr>
          <w:fldChar w:fldCharType="begin"/>
        </w:r>
        <w:r w:rsidRPr="005A3FEF">
          <w:rPr>
            <w:rStyle w:val="PageNumber"/>
            <w:rFonts w:ascii="Open Sans Light" w:hAnsi="Open Sans Light" w:cs="Open Sans Light"/>
            <w:i/>
            <w:iCs/>
            <w:sz w:val="15"/>
            <w:szCs w:val="15"/>
          </w:rPr>
          <w:instrText xml:space="preserve"> PAGE </w:instrText>
        </w:r>
        <w:r w:rsidRPr="005A3FEF">
          <w:rPr>
            <w:rStyle w:val="PageNumber"/>
            <w:rFonts w:ascii="Open Sans Light" w:hAnsi="Open Sans Light" w:cs="Open Sans Light"/>
            <w:i/>
            <w:iCs/>
            <w:sz w:val="15"/>
            <w:szCs w:val="15"/>
          </w:rPr>
          <w:fldChar w:fldCharType="separate"/>
        </w:r>
        <w:r w:rsidRPr="005A3FEF">
          <w:rPr>
            <w:rStyle w:val="PageNumber"/>
            <w:rFonts w:ascii="Open Sans Light" w:hAnsi="Open Sans Light" w:cs="Open Sans Light"/>
            <w:i/>
            <w:iCs/>
            <w:sz w:val="15"/>
            <w:szCs w:val="15"/>
          </w:rPr>
          <w:t>2</w:t>
        </w:r>
        <w:r w:rsidRPr="005A3FEF">
          <w:rPr>
            <w:rStyle w:val="PageNumber"/>
            <w:rFonts w:ascii="Open Sans Light" w:hAnsi="Open Sans Light" w:cs="Open Sans Light"/>
            <w:i/>
            <w:iCs/>
            <w:sz w:val="15"/>
            <w:szCs w:val="15"/>
          </w:rPr>
          <w:fldChar w:fldCharType="end"/>
        </w:r>
      </w:p>
    </w:sdtContent>
  </w:sdt>
  <w:p w14:paraId="33246B77" w14:textId="65CE41BC" w:rsidR="00CD197C" w:rsidRPr="005A3FEF" w:rsidRDefault="004A632C" w:rsidP="004A632C">
    <w:pPr>
      <w:pStyle w:val="Footer"/>
      <w:tabs>
        <w:tab w:val="clear" w:pos="4680"/>
        <w:tab w:val="clear" w:pos="9360"/>
        <w:tab w:val="center" w:pos="5400"/>
        <w:tab w:val="right" w:pos="10800"/>
      </w:tabs>
      <w:ind w:right="360"/>
      <w:rPr>
        <w:rFonts w:ascii="Open Sans Light" w:hAnsi="Open Sans Light" w:cs="Open Sans Light"/>
        <w:i/>
        <w:iCs/>
        <w:sz w:val="15"/>
        <w:szCs w:val="15"/>
      </w:rPr>
    </w:pPr>
    <w:r w:rsidRPr="005A3FEF">
      <w:rPr>
        <w:rFonts w:ascii="Open Sans Light" w:hAnsi="Open Sans Light" w:cs="Open Sans Light"/>
        <w:i/>
        <w:iCs/>
        <w:sz w:val="15"/>
        <w:szCs w:val="15"/>
      </w:rPr>
      <w:t>An HBS</w:t>
    </w:r>
    <w:r w:rsidR="0059742A" w:rsidRPr="005A3FEF">
      <w:rPr>
        <w:rFonts w:ascii="Open Sans Light" w:hAnsi="Open Sans Light" w:cs="Open Sans Light"/>
        <w:i/>
        <w:iCs/>
        <w:sz w:val="15"/>
        <w:szCs w:val="15"/>
      </w:rPr>
      <w:t xml:space="preserve"> Company</w:t>
    </w:r>
    <w:r w:rsidRPr="005A3FEF">
      <w:rPr>
        <w:rFonts w:ascii="Open Sans Light" w:hAnsi="Open Sans Light" w:cs="Open Sans Light"/>
        <w:i/>
        <w:iCs/>
        <w:sz w:val="15"/>
        <w:szCs w:val="15"/>
      </w:rPr>
      <w:tab/>
      <w:t>Patton Healthcare Consulting and Barrins &amp; Associates</w:t>
    </w:r>
    <w:r w:rsidRPr="005A3FEF">
      <w:rPr>
        <w:rFonts w:ascii="Open Sans Light" w:hAnsi="Open Sans Light" w:cs="Open Sans Light"/>
        <w:i/>
        <w:iCs/>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5321" w14:textId="7CEE5DAE" w:rsidR="004A632C" w:rsidRDefault="00252461" w:rsidP="004A632C">
    <w:pPr>
      <w:pStyle w:val="Header"/>
      <w:jc w:val="center"/>
      <w:rPr>
        <w:rFonts w:ascii="Arial Narrow" w:hAnsi="Arial Narrow"/>
        <w:sz w:val="20"/>
        <w:szCs w:val="20"/>
      </w:rPr>
    </w:pPr>
    <w:r>
      <w:rPr>
        <w:rFonts w:ascii="Arial Narrow" w:hAnsi="Arial Narrow"/>
        <w:sz w:val="20"/>
        <w:szCs w:val="20"/>
      </w:rPr>
      <w:t>TOOL</w:t>
    </w:r>
  </w:p>
  <w:p w14:paraId="4279E35A" w14:textId="77777777" w:rsidR="00252461" w:rsidRPr="004A632C" w:rsidRDefault="00252461"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F7CC" w14:textId="69B61768" w:rsidR="00081E6A" w:rsidRPr="00081E6A" w:rsidRDefault="00081E6A" w:rsidP="00081E6A">
    <w:pPr>
      <w:pStyle w:val="NormalWeb"/>
    </w:pPr>
    <w:r w:rsidRPr="00081E6A">
      <w:drawing>
        <wp:inline distT="0" distB="0" distL="0" distR="0" wp14:anchorId="559A869C" wp14:editId="0F1E4FEA">
          <wp:extent cx="2456953" cy="439294"/>
          <wp:effectExtent l="0" t="0" r="635" b="0"/>
          <wp:docPr id="406808252"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08252"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28" cy="459136"/>
                  </a:xfrm>
                  <a:prstGeom prst="rect">
                    <a:avLst/>
                  </a:prstGeom>
                  <a:noFill/>
                  <a:ln>
                    <a:noFill/>
                  </a:ln>
                </pic:spPr>
              </pic:pic>
            </a:graphicData>
          </a:graphic>
        </wp:inline>
      </w:drawing>
    </w:r>
  </w:p>
  <w:p w14:paraId="10835FA2" w14:textId="5A1688F3" w:rsidR="00FE5135" w:rsidRDefault="00081E6A" w:rsidP="00081E6A">
    <w:pPr>
      <w:pStyle w:val="Header"/>
      <w:jc w:val="right"/>
    </w:pPr>
    <w:r>
      <w:rPr>
        <w:rFonts w:ascii="Montserrat SemiBold" w:hAnsi="Montserrat SemiBold" w:cs="Arial"/>
        <w:b/>
        <w:bCs/>
        <w:sz w:val="24"/>
        <w:szCs w:val="28"/>
      </w:rPr>
      <w:t>202</w:t>
    </w:r>
    <w:r>
      <w:rPr>
        <w:rFonts w:ascii="Montserrat SemiBold" w:hAnsi="Montserrat SemiBold" w:cs="Arial"/>
        <w:b/>
        <w:bCs/>
        <w:sz w:val="24"/>
        <w:szCs w:val="28"/>
      </w:rPr>
      <w:t>5</w:t>
    </w:r>
    <w:r>
      <w:rPr>
        <w:rFonts w:ascii="Montserrat SemiBold" w:hAnsi="Montserrat SemiBold" w:cs="Arial"/>
        <w:b/>
        <w:bCs/>
        <w:sz w:val="24"/>
        <w:szCs w:val="28"/>
      </w:rPr>
      <w:t xml:space="preserve"> Daily Briefing, Issue Resolution,</w:t>
    </w:r>
  </w:p>
  <w:p w14:paraId="4EF54E7F" w14:textId="1CA288D6" w:rsidR="005C30D7" w:rsidRDefault="00424C98" w:rsidP="005B234E">
    <w:pPr>
      <w:pStyle w:val="Header"/>
      <w:jc w:val="right"/>
      <w:rPr>
        <w:rFonts w:ascii="Montserrat SemiBold" w:hAnsi="Montserrat SemiBold" w:cs="Arial"/>
        <w:b/>
        <w:bCs/>
        <w:sz w:val="24"/>
        <w:szCs w:val="28"/>
      </w:rPr>
    </w:pPr>
    <w:r>
      <w:rPr>
        <w:rFonts w:ascii="Montserrat SemiBold" w:hAnsi="Montserrat SemiBold" w:cs="Arial"/>
        <w:b/>
        <w:bCs/>
        <w:sz w:val="24"/>
        <w:szCs w:val="28"/>
      </w:rPr>
      <w:t>CEO Briefing, &amp; Exit Conference Tool</w:t>
    </w:r>
  </w:p>
  <w:p w14:paraId="7EF79B4D" w14:textId="5BA9805B" w:rsidR="005B234E" w:rsidRPr="005B234E" w:rsidRDefault="005B234E" w:rsidP="005B234E">
    <w:pPr>
      <w:pStyle w:val="Header"/>
      <w:jc w:val="right"/>
      <w:rPr>
        <w:rFonts w:ascii="Montserrat SemiBold" w:hAnsi="Montserrat SemiBold" w:cs="Arial"/>
        <w:b/>
        <w:bCs/>
        <w:sz w:val="24"/>
        <w:szCs w:val="28"/>
      </w:rPr>
    </w:pPr>
    <w:r>
      <w:rPr>
        <w:rFonts w:ascii="Montserrat SemiBold" w:hAnsi="Montserrat SemiBold" w:cs="Arial"/>
        <w:b/>
        <w:bCs/>
        <w:sz w:val="24"/>
        <w:szCs w:val="28"/>
      </w:rPr>
      <w:t>TJC BHC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2976E2D"/>
    <w:multiLevelType w:val="hybridMultilevel"/>
    <w:tmpl w:val="D884D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90DDA"/>
    <w:multiLevelType w:val="hybridMultilevel"/>
    <w:tmpl w:val="11EAAE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9344D"/>
    <w:multiLevelType w:val="hybridMultilevel"/>
    <w:tmpl w:val="08D89B0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075198"/>
    <w:multiLevelType w:val="hybridMultilevel"/>
    <w:tmpl w:val="08D89B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D5D49"/>
    <w:multiLevelType w:val="hybridMultilevel"/>
    <w:tmpl w:val="D884D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A16880"/>
    <w:multiLevelType w:val="hybridMultilevel"/>
    <w:tmpl w:val="D884D1D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602284">
    <w:abstractNumId w:val="3"/>
  </w:num>
  <w:num w:numId="2" w16cid:durableId="409500556">
    <w:abstractNumId w:val="1"/>
  </w:num>
  <w:num w:numId="3" w16cid:durableId="2023386192">
    <w:abstractNumId w:val="0"/>
  </w:num>
  <w:num w:numId="4" w16cid:durableId="1167984498">
    <w:abstractNumId w:val="7"/>
  </w:num>
  <w:num w:numId="5" w16cid:durableId="147669801">
    <w:abstractNumId w:val="4"/>
  </w:num>
  <w:num w:numId="6" w16cid:durableId="1127624776">
    <w:abstractNumId w:val="14"/>
  </w:num>
  <w:num w:numId="7" w16cid:durableId="136578292">
    <w:abstractNumId w:val="9"/>
  </w:num>
  <w:num w:numId="8" w16cid:durableId="2051958114">
    <w:abstractNumId w:val="5"/>
  </w:num>
  <w:num w:numId="9" w16cid:durableId="79328075">
    <w:abstractNumId w:val="8"/>
  </w:num>
  <w:num w:numId="10" w16cid:durableId="1892615500">
    <w:abstractNumId w:val="11"/>
  </w:num>
  <w:num w:numId="11" w16cid:durableId="491333542">
    <w:abstractNumId w:val="6"/>
  </w:num>
  <w:num w:numId="12" w16cid:durableId="1024404439">
    <w:abstractNumId w:val="2"/>
  </w:num>
  <w:num w:numId="13" w16cid:durableId="1151094418">
    <w:abstractNumId w:val="13"/>
  </w:num>
  <w:num w:numId="14" w16cid:durableId="14306155">
    <w:abstractNumId w:val="12"/>
  </w:num>
  <w:num w:numId="15" w16cid:durableId="738673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56F29"/>
    <w:rsid w:val="00081E6A"/>
    <w:rsid w:val="00094697"/>
    <w:rsid w:val="00123B6A"/>
    <w:rsid w:val="00142D84"/>
    <w:rsid w:val="0016027F"/>
    <w:rsid w:val="001A5CCA"/>
    <w:rsid w:val="001A783C"/>
    <w:rsid w:val="001F131B"/>
    <w:rsid w:val="00202C4F"/>
    <w:rsid w:val="00207031"/>
    <w:rsid w:val="00252461"/>
    <w:rsid w:val="002A336B"/>
    <w:rsid w:val="002B5523"/>
    <w:rsid w:val="002E3C6E"/>
    <w:rsid w:val="002F5A92"/>
    <w:rsid w:val="00342F78"/>
    <w:rsid w:val="00356CA2"/>
    <w:rsid w:val="0039698D"/>
    <w:rsid w:val="003C604C"/>
    <w:rsid w:val="00424C98"/>
    <w:rsid w:val="004A632C"/>
    <w:rsid w:val="004C09D7"/>
    <w:rsid w:val="004C32A2"/>
    <w:rsid w:val="004F3DC8"/>
    <w:rsid w:val="00506A08"/>
    <w:rsid w:val="00511DAE"/>
    <w:rsid w:val="0059356B"/>
    <w:rsid w:val="0059742A"/>
    <w:rsid w:val="005A3FEF"/>
    <w:rsid w:val="005B234E"/>
    <w:rsid w:val="005B332F"/>
    <w:rsid w:val="005C30D7"/>
    <w:rsid w:val="00611C04"/>
    <w:rsid w:val="00635EE8"/>
    <w:rsid w:val="006F4E58"/>
    <w:rsid w:val="00720A5A"/>
    <w:rsid w:val="00733CD4"/>
    <w:rsid w:val="007502ED"/>
    <w:rsid w:val="00770BD3"/>
    <w:rsid w:val="00770C78"/>
    <w:rsid w:val="007C0009"/>
    <w:rsid w:val="00803EE2"/>
    <w:rsid w:val="0081680F"/>
    <w:rsid w:val="008546AC"/>
    <w:rsid w:val="008749D2"/>
    <w:rsid w:val="008B620A"/>
    <w:rsid w:val="00973A39"/>
    <w:rsid w:val="0099047A"/>
    <w:rsid w:val="009B49A9"/>
    <w:rsid w:val="009C0987"/>
    <w:rsid w:val="00A13538"/>
    <w:rsid w:val="00A62C4A"/>
    <w:rsid w:val="00A66D5A"/>
    <w:rsid w:val="00AA39DC"/>
    <w:rsid w:val="00AC2C8D"/>
    <w:rsid w:val="00AE173A"/>
    <w:rsid w:val="00B15FF4"/>
    <w:rsid w:val="00B55250"/>
    <w:rsid w:val="00B5629B"/>
    <w:rsid w:val="00C23983"/>
    <w:rsid w:val="00C66648"/>
    <w:rsid w:val="00C831D3"/>
    <w:rsid w:val="00CA40DF"/>
    <w:rsid w:val="00CD197C"/>
    <w:rsid w:val="00DB5F06"/>
    <w:rsid w:val="00DC59BE"/>
    <w:rsid w:val="00EC6D1D"/>
    <w:rsid w:val="00FA5AFD"/>
    <w:rsid w:val="00FD2D89"/>
    <w:rsid w:val="00FD3FB8"/>
    <w:rsid w:val="00FE5135"/>
    <w:rsid w:val="00FE758C"/>
    <w:rsid w:val="00FF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5135"/>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067095">
      <w:bodyDiv w:val="1"/>
      <w:marLeft w:val="0"/>
      <w:marRight w:val="0"/>
      <w:marTop w:val="0"/>
      <w:marBottom w:val="0"/>
      <w:divBdr>
        <w:top w:val="none" w:sz="0" w:space="0" w:color="auto"/>
        <w:left w:val="none" w:sz="0" w:space="0" w:color="auto"/>
        <w:bottom w:val="none" w:sz="0" w:space="0" w:color="auto"/>
        <w:right w:val="none" w:sz="0" w:space="0" w:color="auto"/>
      </w:divBdr>
    </w:div>
    <w:div w:id="15802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customXml/itemProps2.xml><?xml version="1.0" encoding="utf-8"?>
<ds:datastoreItem xmlns:ds="http://schemas.openxmlformats.org/officeDocument/2006/customXml" ds:itemID="{A17460B7-7EF4-433F-A5D8-98EF360D7338}">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3.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4.xml><?xml version="1.0" encoding="utf-8"?>
<ds:datastoreItem xmlns:ds="http://schemas.openxmlformats.org/officeDocument/2006/customXml" ds:itemID="{A4B3356C-35F7-46E5-AE3E-B40A3D846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2</cp:revision>
  <dcterms:created xsi:type="dcterms:W3CDTF">2025-02-12T17:10:00Z</dcterms:created>
  <dcterms:modified xsi:type="dcterms:W3CDTF">2025-02-12T17:10:00Z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