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74FF" w14:textId="77777777" w:rsidR="00DD4FCF" w:rsidRPr="00FE7621" w:rsidRDefault="00DD4FCF" w:rsidP="00FE7621">
      <w:pPr>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Standards that define expectations of a hospital’s governing body</w:t>
      </w:r>
    </w:p>
    <w:p w14:paraId="7E173C6A" w14:textId="77777777" w:rsidR="00DD4FCF" w:rsidRPr="00FE7621" w:rsidRDefault="00DD4FCF" w:rsidP="00FE7621">
      <w:pPr>
        <w:spacing w:after="40" w:line="200" w:lineRule="exact"/>
        <w:rPr>
          <w:rFonts w:ascii="Open Sans" w:hAnsi="Open Sans" w:cs="Open Sans"/>
          <w:sz w:val="18"/>
          <w:szCs w:val="18"/>
        </w:rPr>
      </w:pPr>
    </w:p>
    <w:p w14:paraId="5C75B048" w14:textId="77777777" w:rsidR="00DD4FCF" w:rsidRPr="00FE7621" w:rsidRDefault="00DD4FCF" w:rsidP="00FE7621">
      <w:pPr>
        <w:widowControl w:val="0"/>
        <w:autoSpaceDE w:val="0"/>
        <w:autoSpaceDN w:val="0"/>
        <w:adjustRightInd w:val="0"/>
        <w:spacing w:after="40" w:line="200" w:lineRule="exact"/>
        <w:rPr>
          <w:rFonts w:ascii="Open Sans" w:hAnsi="Open Sans" w:cs="Open Sans"/>
          <w:sz w:val="18"/>
          <w:szCs w:val="18"/>
        </w:rPr>
      </w:pPr>
      <w:r w:rsidRPr="00FE7621">
        <w:rPr>
          <w:rFonts w:ascii="Open Sans" w:hAnsi="Open Sans" w:cs="Open Sans"/>
          <w:color w:val="000000"/>
          <w:sz w:val="18"/>
          <w:szCs w:val="18"/>
        </w:rPr>
        <w:t>There are a number of standards that contain requirements for the “governing body”, “governance” or “leadership”.  This document summarizes the requirements for Governance and Governing Body.  The Joint Commission defines governance as the group that has ultimate authority and responsibility for establishing policy, maintaining quality of care, and for management and planning at the organization level.  While, t</w:t>
      </w:r>
      <w:r w:rsidRPr="00FE7621">
        <w:rPr>
          <w:rFonts w:ascii="Open Sans" w:hAnsi="Open Sans" w:cs="Open Sans"/>
          <w:sz w:val="18"/>
          <w:szCs w:val="18"/>
        </w:rPr>
        <w:t>he Joint Commission has several requirements related to the hospital’s governing body, not all are contained within the leadership chapter, they are sprinkled throughout the accreditation manual.  This document describes the standards that specify reports the board must see, policies the board must approve in addition to random references where the board is expected to fulfill some specific duty.   The standards in the Medical Staff chapter that define the relationship between the medical staff and the board are not included in the below list.  </w:t>
      </w:r>
    </w:p>
    <w:p w14:paraId="29F8AB13" w14:textId="77777777" w:rsidR="00DD4FCF" w:rsidRPr="00FE7621" w:rsidRDefault="00DD4FCF" w:rsidP="00FE7621">
      <w:pPr>
        <w:widowControl w:val="0"/>
        <w:autoSpaceDE w:val="0"/>
        <w:autoSpaceDN w:val="0"/>
        <w:adjustRightInd w:val="0"/>
        <w:spacing w:after="40" w:line="200" w:lineRule="exact"/>
        <w:rPr>
          <w:rFonts w:ascii="Open Sans" w:hAnsi="Open Sans" w:cs="Open Sans"/>
          <w:sz w:val="18"/>
          <w:szCs w:val="18"/>
        </w:rPr>
      </w:pPr>
    </w:p>
    <w:p w14:paraId="43C7C77A" w14:textId="77777777" w:rsidR="00DD4FCF" w:rsidRPr="00FE7621" w:rsidRDefault="00DD4FCF" w:rsidP="00FE7621">
      <w:pPr>
        <w:spacing w:after="40" w:line="200" w:lineRule="exact"/>
        <w:rPr>
          <w:rFonts w:ascii="Open Sans" w:hAnsi="Open Sans" w:cs="Open Sans"/>
          <w:sz w:val="18"/>
          <w:szCs w:val="18"/>
        </w:rPr>
      </w:pPr>
      <w:r w:rsidRPr="00FE7621">
        <w:rPr>
          <w:rFonts w:ascii="Open Sans" w:hAnsi="Open Sans" w:cs="Open Sans"/>
          <w:sz w:val="18"/>
          <w:szCs w:val="18"/>
        </w:rPr>
        <w:t xml:space="preserve">Note that in 2010 a few of the CMS CoPs were integrated into the standards as a "note" in an EP or a "note" at the standard level.  The notes that implicate the governing body are included here as well. </w:t>
      </w:r>
    </w:p>
    <w:p w14:paraId="623C6969" w14:textId="77777777" w:rsidR="00DD4FCF" w:rsidRDefault="00DD4FCF" w:rsidP="00FE7621">
      <w:pPr>
        <w:spacing w:after="40" w:line="200" w:lineRule="exact"/>
        <w:rPr>
          <w:rFonts w:ascii="Open Sans" w:hAnsi="Open Sans" w:cs="Open Sans"/>
          <w:color w:val="000000"/>
          <w:sz w:val="18"/>
          <w:szCs w:val="18"/>
        </w:rPr>
      </w:pPr>
    </w:p>
    <w:p w14:paraId="35D35981" w14:textId="77777777" w:rsidR="007E5839" w:rsidRPr="00FE7621" w:rsidRDefault="007E5839" w:rsidP="00FE7621">
      <w:pPr>
        <w:spacing w:after="40" w:line="200" w:lineRule="exact"/>
        <w:rPr>
          <w:rFonts w:ascii="Open Sans" w:hAnsi="Open Sans" w:cs="Open Sans"/>
          <w:color w:val="000000"/>
          <w:sz w:val="18"/>
          <w:szCs w:val="18"/>
        </w:rPr>
      </w:pPr>
    </w:p>
    <w:p w14:paraId="42A4D608" w14:textId="77777777" w:rsidR="00DD4FCF" w:rsidRPr="00FE7621" w:rsidRDefault="00DD4FCF" w:rsidP="00FE7621">
      <w:pPr>
        <w:spacing w:after="40" w:line="200" w:lineRule="exact"/>
        <w:rPr>
          <w:rFonts w:ascii="Open Sans" w:hAnsi="Open Sans" w:cs="Open Sans"/>
          <w:b/>
          <w:color w:val="000000"/>
          <w:sz w:val="18"/>
          <w:szCs w:val="18"/>
        </w:rPr>
      </w:pPr>
      <w:r w:rsidRPr="00FE7621">
        <w:rPr>
          <w:rFonts w:ascii="Open Sans" w:hAnsi="Open Sans" w:cs="Open Sans"/>
          <w:b/>
          <w:bCs/>
          <w:color w:val="080909"/>
          <w:sz w:val="18"/>
          <w:szCs w:val="18"/>
        </w:rPr>
        <w:t>LD.04.04.05 EP 13 - This standard is the only one to specify the specific reports that the governing body is to review annually.</w:t>
      </w:r>
    </w:p>
    <w:p w14:paraId="48B3D888" w14:textId="77777777" w:rsidR="00DD4FCF" w:rsidRPr="00FE7621" w:rsidRDefault="00DD4FCF" w:rsidP="007E5839">
      <w:pPr>
        <w:pStyle w:val="ListParagraph"/>
        <w:widowControl w:val="0"/>
        <w:numPr>
          <w:ilvl w:val="0"/>
          <w:numId w:val="10"/>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At least once a year, the leaders provide governance with written reports on the following:</w:t>
      </w:r>
    </w:p>
    <w:p w14:paraId="3686BB43" w14:textId="77777777" w:rsidR="00DD4FCF" w:rsidRPr="00FE7621" w:rsidRDefault="00DD4FCF" w:rsidP="007E5839">
      <w:pPr>
        <w:pStyle w:val="ListParagraph"/>
        <w:widowControl w:val="0"/>
        <w:numPr>
          <w:ilvl w:val="1"/>
          <w:numId w:val="10"/>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All system or process failures </w:t>
      </w:r>
      <w:r w:rsidRPr="00FE7621">
        <w:rPr>
          <w:rFonts w:ascii="Open Sans" w:hAnsi="Open Sans" w:cs="Open Sans"/>
          <w:color w:val="080909"/>
          <w:sz w:val="18"/>
          <w:szCs w:val="18"/>
        </w:rPr>
        <w:tab/>
      </w:r>
    </w:p>
    <w:p w14:paraId="69CADBB8" w14:textId="77777777" w:rsidR="00DD4FCF" w:rsidRPr="00FE7621" w:rsidRDefault="00DD4FCF" w:rsidP="007E5839">
      <w:pPr>
        <w:pStyle w:val="ListParagraph"/>
        <w:widowControl w:val="0"/>
        <w:numPr>
          <w:ilvl w:val="1"/>
          <w:numId w:val="10"/>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The number and type of sentinel events </w:t>
      </w:r>
      <w:r w:rsidRPr="00FE7621">
        <w:rPr>
          <w:rFonts w:ascii="Open Sans" w:hAnsi="Open Sans" w:cs="Open Sans"/>
          <w:color w:val="080909"/>
          <w:sz w:val="18"/>
          <w:szCs w:val="18"/>
        </w:rPr>
        <w:tab/>
      </w:r>
    </w:p>
    <w:p w14:paraId="265C0EA4" w14:textId="77777777" w:rsidR="00DD4FCF" w:rsidRPr="00FE7621" w:rsidRDefault="00DD4FCF" w:rsidP="007E5839">
      <w:pPr>
        <w:pStyle w:val="ListParagraph"/>
        <w:widowControl w:val="0"/>
        <w:numPr>
          <w:ilvl w:val="1"/>
          <w:numId w:val="10"/>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Whether the patients and the families were informed of the event </w:t>
      </w:r>
      <w:r w:rsidRPr="00FE7621">
        <w:rPr>
          <w:rFonts w:ascii="Open Sans" w:hAnsi="Open Sans" w:cs="Open Sans"/>
          <w:color w:val="080909"/>
          <w:sz w:val="18"/>
          <w:szCs w:val="18"/>
        </w:rPr>
        <w:tab/>
      </w:r>
    </w:p>
    <w:p w14:paraId="34AA7987" w14:textId="77777777" w:rsidR="00DD4FCF" w:rsidRPr="00FE7621" w:rsidRDefault="00DD4FCF" w:rsidP="007E5839">
      <w:pPr>
        <w:pStyle w:val="ListParagraph"/>
        <w:widowControl w:val="0"/>
        <w:numPr>
          <w:ilvl w:val="1"/>
          <w:numId w:val="10"/>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All actions taken to improve safety, both proactively and in response to actual occurrences </w:t>
      </w:r>
      <w:r w:rsidRPr="00FE7621">
        <w:rPr>
          <w:rFonts w:ascii="Open Sans" w:hAnsi="Open Sans" w:cs="Open Sans"/>
          <w:color w:val="080909"/>
          <w:sz w:val="18"/>
          <w:szCs w:val="18"/>
        </w:rPr>
        <w:tab/>
      </w:r>
    </w:p>
    <w:p w14:paraId="0B05029E" w14:textId="77777777" w:rsidR="00DD4FCF" w:rsidRPr="00FE7621" w:rsidRDefault="00DD4FCF" w:rsidP="007E5839">
      <w:pPr>
        <w:pStyle w:val="ListParagraph"/>
        <w:widowControl w:val="0"/>
        <w:numPr>
          <w:ilvl w:val="1"/>
          <w:numId w:val="10"/>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The determined number of distinct improvement projects to be conducted annually </w:t>
      </w:r>
      <w:r w:rsidRPr="00FE7621">
        <w:rPr>
          <w:rFonts w:ascii="Open Sans" w:hAnsi="Open Sans" w:cs="Open Sans"/>
          <w:color w:val="080909"/>
          <w:sz w:val="18"/>
          <w:szCs w:val="18"/>
        </w:rPr>
        <w:tab/>
      </w:r>
    </w:p>
    <w:p w14:paraId="5A422151" w14:textId="77777777" w:rsidR="00DD4FCF" w:rsidRPr="00FE7621" w:rsidRDefault="00DD4FCF" w:rsidP="007E5839">
      <w:pPr>
        <w:pStyle w:val="ListParagraph"/>
        <w:widowControl w:val="0"/>
        <w:numPr>
          <w:ilvl w:val="1"/>
          <w:numId w:val="10"/>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All results of the analyses related to the adequacy of staffing (See also PI.02.01.01, EP 14</w:t>
      </w:r>
    </w:p>
    <w:p w14:paraId="360509ED" w14:textId="77777777" w:rsidR="00DD4FCF" w:rsidRPr="00FE7621" w:rsidRDefault="00DD4FCF" w:rsidP="007E5839">
      <w:pPr>
        <w:spacing w:after="40" w:line="200" w:lineRule="exact"/>
        <w:rPr>
          <w:rFonts w:ascii="Open Sans" w:hAnsi="Open Sans" w:cs="Open Sans"/>
          <w:color w:val="000000"/>
          <w:sz w:val="18"/>
          <w:szCs w:val="18"/>
        </w:rPr>
      </w:pPr>
    </w:p>
    <w:p w14:paraId="7A5A9958" w14:textId="77777777" w:rsidR="00DD4FCF" w:rsidRPr="00FE7621" w:rsidRDefault="00DD4FCF" w:rsidP="007E5839">
      <w:pPr>
        <w:widowControl w:val="0"/>
        <w:autoSpaceDE w:val="0"/>
        <w:autoSpaceDN w:val="0"/>
        <w:adjustRightInd w:val="0"/>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LD.01.01.01 - This standard is a generic requirement that you define roles</w:t>
      </w:r>
    </w:p>
    <w:p w14:paraId="00B9B36B" w14:textId="77777777" w:rsidR="00DD4FCF" w:rsidRPr="00FE7621" w:rsidRDefault="00DD4FCF" w:rsidP="00FE7621">
      <w:pPr>
        <w:pStyle w:val="ListParagraph"/>
        <w:widowControl w:val="0"/>
        <w:numPr>
          <w:ilvl w:val="0"/>
          <w:numId w:val="11"/>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hospital identifies those responsible for governance.</w:t>
      </w:r>
    </w:p>
    <w:p w14:paraId="6F24B94E" w14:textId="77777777" w:rsidR="00DD4FCF" w:rsidRPr="00FE7621" w:rsidRDefault="00DD4FCF" w:rsidP="00FE7621">
      <w:pPr>
        <w:pStyle w:val="ListParagraph"/>
        <w:widowControl w:val="0"/>
        <w:numPr>
          <w:ilvl w:val="0"/>
          <w:numId w:val="11"/>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governing body identifies those responsible for planning, management, and operational activities.</w:t>
      </w:r>
    </w:p>
    <w:p w14:paraId="6EE5D055" w14:textId="77777777" w:rsidR="00DD4FCF" w:rsidRPr="00FE7621" w:rsidRDefault="00DD4FCF" w:rsidP="00FE7621">
      <w:pPr>
        <w:pStyle w:val="ListParagraph"/>
        <w:numPr>
          <w:ilvl w:val="0"/>
          <w:numId w:val="11"/>
        </w:numPr>
        <w:spacing w:after="40" w:line="200" w:lineRule="exact"/>
        <w:contextualSpacing w:val="0"/>
        <w:rPr>
          <w:rFonts w:ascii="Open Sans" w:hAnsi="Open Sans" w:cs="Open Sans"/>
          <w:color w:val="000000"/>
          <w:sz w:val="18"/>
          <w:szCs w:val="18"/>
        </w:rPr>
      </w:pPr>
      <w:r w:rsidRPr="00FE7621">
        <w:rPr>
          <w:rFonts w:ascii="Open Sans" w:hAnsi="Open Sans" w:cs="Open Sans"/>
          <w:color w:val="080909"/>
          <w:sz w:val="18"/>
          <w:szCs w:val="18"/>
        </w:rPr>
        <w:t>The governing body identifies those responsible for the provision of care, treatment, and services.</w:t>
      </w:r>
    </w:p>
    <w:p w14:paraId="017640F2" w14:textId="77777777" w:rsidR="00DD4FCF" w:rsidRPr="00FE7621" w:rsidRDefault="00DD4FCF" w:rsidP="00FE7621">
      <w:pPr>
        <w:spacing w:after="40" w:line="200" w:lineRule="exact"/>
        <w:rPr>
          <w:rFonts w:ascii="Open Sans" w:hAnsi="Open Sans" w:cs="Open Sans"/>
          <w:color w:val="000000"/>
          <w:sz w:val="18"/>
          <w:szCs w:val="18"/>
        </w:rPr>
      </w:pPr>
    </w:p>
    <w:p w14:paraId="30A64554" w14:textId="61E206B6"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LD.01.03.01 – This standard defines the duties of the governing body.  The</w:t>
      </w:r>
      <w:r w:rsidR="00FE7621">
        <w:rPr>
          <w:rFonts w:ascii="Open Sans" w:hAnsi="Open Sans" w:cs="Open Sans"/>
          <w:b/>
          <w:bCs/>
          <w:color w:val="080909"/>
          <w:sz w:val="18"/>
          <w:szCs w:val="18"/>
        </w:rPr>
        <w:t xml:space="preserve"> governing body</w:t>
      </w:r>
      <w:r w:rsidRPr="00FE7621">
        <w:rPr>
          <w:rFonts w:ascii="Open Sans" w:hAnsi="Open Sans" w:cs="Open Sans"/>
          <w:b/>
          <w:bCs/>
          <w:color w:val="080909"/>
          <w:sz w:val="18"/>
          <w:szCs w:val="18"/>
        </w:rPr>
        <w:t>:</w:t>
      </w:r>
    </w:p>
    <w:p w14:paraId="75BE70F2" w14:textId="24A48F3E" w:rsidR="00DD4FCF" w:rsidRPr="00FE7621" w:rsidRDefault="00FE7621" w:rsidP="007E5839">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Pr>
          <w:rFonts w:ascii="Open Sans" w:hAnsi="Open Sans" w:cs="Open Sans"/>
          <w:color w:val="080909"/>
          <w:sz w:val="18"/>
          <w:szCs w:val="18"/>
        </w:rPr>
        <w:t>D</w:t>
      </w:r>
      <w:r w:rsidR="00DD4FCF" w:rsidRPr="00FE7621">
        <w:rPr>
          <w:rFonts w:ascii="Open Sans" w:hAnsi="Open Sans" w:cs="Open Sans"/>
          <w:color w:val="080909"/>
          <w:sz w:val="18"/>
          <w:szCs w:val="18"/>
        </w:rPr>
        <w:t xml:space="preserve">efines in writing its responsibilities. </w:t>
      </w:r>
    </w:p>
    <w:p w14:paraId="25FFD98E" w14:textId="2A0F5877" w:rsidR="00DD4FCF" w:rsidRPr="00FE7621" w:rsidRDefault="00FE7621" w:rsidP="007E5839">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Pr>
          <w:rFonts w:ascii="Open Sans" w:hAnsi="Open Sans" w:cs="Open Sans"/>
          <w:color w:val="080909"/>
          <w:sz w:val="18"/>
          <w:szCs w:val="18"/>
        </w:rPr>
        <w:t>P</w:t>
      </w:r>
      <w:r w:rsidR="00DD4FCF" w:rsidRPr="00FE7621">
        <w:rPr>
          <w:rFonts w:ascii="Open Sans" w:hAnsi="Open Sans" w:cs="Open Sans"/>
          <w:color w:val="080909"/>
          <w:sz w:val="18"/>
          <w:szCs w:val="18"/>
        </w:rPr>
        <w:t>rovides for organization management and planning.</w:t>
      </w:r>
    </w:p>
    <w:p w14:paraId="6349F261" w14:textId="043BFA56" w:rsidR="00DD4FCF" w:rsidRPr="00FE7621" w:rsidRDefault="00FE7621" w:rsidP="007E5839">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Pr>
          <w:rFonts w:ascii="Open Sans" w:hAnsi="Open Sans" w:cs="Open Sans"/>
          <w:color w:val="080909"/>
          <w:sz w:val="18"/>
          <w:szCs w:val="18"/>
        </w:rPr>
        <w:t>A</w:t>
      </w:r>
      <w:r w:rsidR="00DD4FCF" w:rsidRPr="00FE7621">
        <w:rPr>
          <w:rFonts w:ascii="Open Sans" w:hAnsi="Open Sans" w:cs="Open Sans"/>
          <w:color w:val="080909"/>
          <w:sz w:val="18"/>
          <w:szCs w:val="18"/>
        </w:rPr>
        <w:t xml:space="preserve">pproves the hospital’s written scope of services. </w:t>
      </w:r>
    </w:p>
    <w:p w14:paraId="26E44C41" w14:textId="02DD98AA" w:rsidR="00DD4FCF" w:rsidRPr="00FE7621" w:rsidRDefault="00FE7621" w:rsidP="007E5839">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Pr>
          <w:rFonts w:ascii="Open Sans" w:hAnsi="Open Sans" w:cs="Open Sans"/>
          <w:color w:val="080909"/>
          <w:sz w:val="18"/>
          <w:szCs w:val="18"/>
        </w:rPr>
        <w:t>S</w:t>
      </w:r>
      <w:r w:rsidR="00DD4FCF" w:rsidRPr="00FE7621">
        <w:rPr>
          <w:rFonts w:ascii="Open Sans" w:hAnsi="Open Sans" w:cs="Open Sans"/>
          <w:color w:val="080909"/>
          <w:sz w:val="18"/>
          <w:szCs w:val="18"/>
        </w:rPr>
        <w:t>elects the chief executive responsible for managing the hospital.</w:t>
      </w:r>
    </w:p>
    <w:p w14:paraId="1F4E2B5D" w14:textId="62DC6BB8" w:rsidR="00DD4FCF" w:rsidRPr="00FE7621" w:rsidRDefault="00FE7621" w:rsidP="007E5839">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Pr>
          <w:rFonts w:ascii="Open Sans" w:hAnsi="Open Sans" w:cs="Open Sans"/>
          <w:color w:val="080909"/>
          <w:sz w:val="18"/>
          <w:szCs w:val="18"/>
        </w:rPr>
        <w:t>P</w:t>
      </w:r>
      <w:r w:rsidR="00DD4FCF" w:rsidRPr="00FE7621">
        <w:rPr>
          <w:rFonts w:ascii="Open Sans" w:hAnsi="Open Sans" w:cs="Open Sans"/>
          <w:color w:val="080909"/>
          <w:sz w:val="18"/>
          <w:szCs w:val="18"/>
        </w:rPr>
        <w:t xml:space="preserve">rovides for the resources needed to maintain safe, quality care, treatment, and services. </w:t>
      </w:r>
    </w:p>
    <w:p w14:paraId="14E248C8" w14:textId="2D4AF06B" w:rsidR="00DD4FCF" w:rsidRPr="00FE7621" w:rsidRDefault="00FE7621" w:rsidP="007E5839">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Pr>
          <w:rFonts w:ascii="Open Sans" w:hAnsi="Open Sans" w:cs="Open Sans"/>
          <w:color w:val="080909"/>
          <w:sz w:val="18"/>
          <w:szCs w:val="18"/>
        </w:rPr>
        <w:t>W</w:t>
      </w:r>
      <w:r w:rsidR="00DD4FCF" w:rsidRPr="00FE7621">
        <w:rPr>
          <w:rFonts w:ascii="Open Sans" w:hAnsi="Open Sans" w:cs="Open Sans"/>
          <w:color w:val="080909"/>
          <w:sz w:val="18"/>
          <w:szCs w:val="18"/>
        </w:rPr>
        <w:t>orks with the senior managers and leaders of the organized medical staff to annually evaluate the hospital’s performance in relation to its mission, vision, and goals.</w:t>
      </w:r>
    </w:p>
    <w:p w14:paraId="480EEAC3" w14:textId="05ED8756" w:rsidR="00DD4FCF" w:rsidRPr="00FE7621" w:rsidRDefault="00FE7621" w:rsidP="007E5839">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Pr>
          <w:rFonts w:ascii="Open Sans" w:hAnsi="Open Sans" w:cs="Open Sans"/>
          <w:color w:val="080909"/>
          <w:sz w:val="18"/>
          <w:szCs w:val="18"/>
        </w:rPr>
        <w:t>P</w:t>
      </w:r>
      <w:r w:rsidR="00DD4FCF" w:rsidRPr="00FE7621">
        <w:rPr>
          <w:rFonts w:ascii="Open Sans" w:hAnsi="Open Sans" w:cs="Open Sans"/>
          <w:color w:val="080909"/>
          <w:sz w:val="18"/>
          <w:szCs w:val="18"/>
        </w:rPr>
        <w:t>rovides a system for resolving conflicts among individuals working in the hospital.</w:t>
      </w:r>
    </w:p>
    <w:p w14:paraId="7F5106F7" w14:textId="7BEAACA2" w:rsidR="00DD4FCF" w:rsidRPr="00FE7621" w:rsidRDefault="00FE7621" w:rsidP="007E5839">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Pr>
          <w:rFonts w:ascii="Open Sans" w:hAnsi="Open Sans" w:cs="Open Sans"/>
          <w:color w:val="080909"/>
          <w:sz w:val="18"/>
          <w:szCs w:val="18"/>
        </w:rPr>
        <w:t>G</w:t>
      </w:r>
      <w:r w:rsidR="00DD4FCF" w:rsidRPr="00FE7621">
        <w:rPr>
          <w:rFonts w:ascii="Open Sans" w:hAnsi="Open Sans" w:cs="Open Sans"/>
          <w:color w:val="080909"/>
          <w:sz w:val="18"/>
          <w:szCs w:val="18"/>
        </w:rPr>
        <w:t>ives the organized medical staff the opportunity to participate in governance.</w:t>
      </w:r>
    </w:p>
    <w:p w14:paraId="6285208C" w14:textId="61AE32D4" w:rsidR="00DD4FCF" w:rsidRPr="00FE7621" w:rsidRDefault="00FE7621" w:rsidP="007E5839">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Pr>
          <w:rFonts w:ascii="Open Sans" w:hAnsi="Open Sans" w:cs="Open Sans"/>
          <w:color w:val="080909"/>
          <w:sz w:val="18"/>
          <w:szCs w:val="18"/>
        </w:rPr>
        <w:t>P</w:t>
      </w:r>
      <w:r w:rsidR="00DD4FCF" w:rsidRPr="00FE7621">
        <w:rPr>
          <w:rFonts w:ascii="Open Sans" w:hAnsi="Open Sans" w:cs="Open Sans"/>
          <w:color w:val="080909"/>
          <w:sz w:val="18"/>
          <w:szCs w:val="18"/>
        </w:rPr>
        <w:t>rovides the organized medical staff with the opportunity to be represented at governing body meetings (through attendance and voice) by one or more of its members, as selected by the organized medical staff.</w:t>
      </w:r>
    </w:p>
    <w:p w14:paraId="283E8D94" w14:textId="77777777" w:rsidR="00DD4FCF" w:rsidRPr="00FE7621" w:rsidRDefault="00DD4FCF" w:rsidP="00FE7621">
      <w:pPr>
        <w:spacing w:after="40" w:line="200" w:lineRule="exact"/>
        <w:ind w:firstLine="720"/>
        <w:rPr>
          <w:rFonts w:ascii="Open Sans" w:hAnsi="Open Sans" w:cs="Open Sans"/>
          <w:color w:val="000000"/>
          <w:sz w:val="18"/>
          <w:szCs w:val="18"/>
        </w:rPr>
      </w:pPr>
    </w:p>
    <w:p w14:paraId="02CA1DC4"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LD.01.05.01 - This standard defines the governing body’s role in defining the medical staff</w:t>
      </w:r>
    </w:p>
    <w:p w14:paraId="1EE4A81F" w14:textId="77777777" w:rsidR="00DD4FCF" w:rsidRPr="00FE7621" w:rsidRDefault="00DD4FCF" w:rsidP="00FE7621">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governing body approves the structure of the organized medical staff.</w:t>
      </w:r>
    </w:p>
    <w:p w14:paraId="45125E6B" w14:textId="77777777" w:rsidR="00DD4FCF" w:rsidRPr="00FE7621" w:rsidRDefault="00DD4FCF" w:rsidP="00FE7621">
      <w:pPr>
        <w:pStyle w:val="ListParagraph"/>
        <w:widowControl w:val="0"/>
        <w:numPr>
          <w:ilvl w:val="0"/>
          <w:numId w:val="12"/>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organized medical staff is accountable to the governing body.</w:t>
      </w:r>
    </w:p>
    <w:p w14:paraId="6CBCFF57" w14:textId="77777777" w:rsidR="00DD4FCF" w:rsidRPr="00FE7621" w:rsidRDefault="00DD4FCF" w:rsidP="00FE7621">
      <w:pPr>
        <w:pStyle w:val="ListParagraph"/>
        <w:widowControl w:val="0"/>
        <w:autoSpaceDE w:val="0"/>
        <w:autoSpaceDN w:val="0"/>
        <w:adjustRightInd w:val="0"/>
        <w:spacing w:after="40" w:line="200" w:lineRule="exact"/>
        <w:contextualSpacing w:val="0"/>
        <w:rPr>
          <w:rFonts w:ascii="Open Sans" w:hAnsi="Open Sans" w:cs="Open Sans"/>
          <w:color w:val="080909"/>
          <w:sz w:val="18"/>
          <w:szCs w:val="18"/>
        </w:rPr>
      </w:pPr>
    </w:p>
    <w:p w14:paraId="299CAFF5"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LD.01.07.01 - The hospital is expected to orient and train the governing body</w:t>
      </w:r>
    </w:p>
    <w:p w14:paraId="7B170D83" w14:textId="77777777" w:rsidR="00DD4FCF" w:rsidRPr="00FE7621" w:rsidRDefault="00DD4FCF" w:rsidP="00FE7621">
      <w:pPr>
        <w:pStyle w:val="ListParagraph"/>
        <w:widowControl w:val="0"/>
        <w:numPr>
          <w:ilvl w:val="0"/>
          <w:numId w:val="13"/>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Individual members of the governing body, senior managers, and leaders of the organized medical staff are oriented to all of the following:  </w:t>
      </w:r>
    </w:p>
    <w:p w14:paraId="3E6E4DAE" w14:textId="77777777" w:rsidR="00DD4FCF" w:rsidRPr="00FE7621" w:rsidRDefault="00DD4FCF" w:rsidP="00FE7621">
      <w:pPr>
        <w:pStyle w:val="ListParagraph"/>
        <w:widowControl w:val="0"/>
        <w:numPr>
          <w:ilvl w:val="1"/>
          <w:numId w:val="13"/>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The hospital’s mission and vision </w:t>
      </w:r>
      <w:r w:rsidRPr="00FE7621">
        <w:rPr>
          <w:rFonts w:ascii="Open Sans" w:hAnsi="Open Sans" w:cs="Open Sans"/>
          <w:color w:val="080909"/>
          <w:sz w:val="18"/>
          <w:szCs w:val="18"/>
        </w:rPr>
        <w:tab/>
      </w:r>
    </w:p>
    <w:p w14:paraId="28A6E60D" w14:textId="77777777" w:rsidR="00DD4FCF" w:rsidRPr="00FE7621" w:rsidRDefault="00DD4FCF" w:rsidP="00FE7621">
      <w:pPr>
        <w:pStyle w:val="ListParagraph"/>
        <w:widowControl w:val="0"/>
        <w:numPr>
          <w:ilvl w:val="1"/>
          <w:numId w:val="13"/>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hospital’s safety and quality goals</w:t>
      </w:r>
    </w:p>
    <w:p w14:paraId="25D45265" w14:textId="77777777" w:rsidR="00DD4FCF" w:rsidRPr="00FE7621" w:rsidRDefault="00DD4FCF" w:rsidP="00FE7621">
      <w:pPr>
        <w:pStyle w:val="ListParagraph"/>
        <w:widowControl w:val="0"/>
        <w:numPr>
          <w:ilvl w:val="1"/>
          <w:numId w:val="13"/>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The hospital’s structure and the decision-making process </w:t>
      </w:r>
      <w:r w:rsidRPr="00FE7621">
        <w:rPr>
          <w:rFonts w:ascii="Open Sans" w:hAnsi="Open Sans" w:cs="Open Sans"/>
          <w:color w:val="080909"/>
          <w:sz w:val="18"/>
          <w:szCs w:val="18"/>
        </w:rPr>
        <w:tab/>
      </w:r>
    </w:p>
    <w:p w14:paraId="5D69C614" w14:textId="77777777" w:rsidR="00DD4FCF" w:rsidRPr="00FE7621" w:rsidRDefault="00DD4FCF" w:rsidP="00FE7621">
      <w:pPr>
        <w:pStyle w:val="ListParagraph"/>
        <w:widowControl w:val="0"/>
        <w:numPr>
          <w:ilvl w:val="1"/>
          <w:numId w:val="13"/>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development of the budget as well as the interpretation of the hospital’s financial statements</w:t>
      </w:r>
    </w:p>
    <w:p w14:paraId="3DE0E1DB" w14:textId="77777777" w:rsidR="00DD4FCF" w:rsidRPr="00FE7621" w:rsidRDefault="00DD4FCF" w:rsidP="00FE7621">
      <w:pPr>
        <w:spacing w:after="40" w:line="200" w:lineRule="exact"/>
        <w:rPr>
          <w:rFonts w:ascii="Open Sans" w:hAnsi="Open Sans" w:cs="Open Sans"/>
          <w:b/>
          <w:bCs/>
          <w:color w:val="080909"/>
          <w:sz w:val="18"/>
          <w:szCs w:val="18"/>
        </w:rPr>
      </w:pPr>
    </w:p>
    <w:p w14:paraId="77455A4F" w14:textId="77777777" w:rsidR="00DD4FCF" w:rsidRPr="00FE7621" w:rsidRDefault="00DD4FCF" w:rsidP="00FE7621">
      <w:pPr>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lastRenderedPageBreak/>
        <w:t>LD.02.01.01 - This requires the governing body create the mission, vision, goals</w:t>
      </w:r>
    </w:p>
    <w:p w14:paraId="3AA67B0A" w14:textId="77777777" w:rsidR="00DD4FCF" w:rsidRPr="00FE7621" w:rsidRDefault="00DD4FCF" w:rsidP="00FE7621">
      <w:pPr>
        <w:pStyle w:val="ListParagraph"/>
        <w:numPr>
          <w:ilvl w:val="0"/>
          <w:numId w:val="13"/>
        </w:numPr>
        <w:spacing w:after="40" w:line="200" w:lineRule="exact"/>
        <w:contextualSpacing w:val="0"/>
        <w:rPr>
          <w:rFonts w:ascii="Open Sans" w:hAnsi="Open Sans" w:cs="Open Sans"/>
          <w:color w:val="000000"/>
          <w:sz w:val="18"/>
          <w:szCs w:val="18"/>
        </w:rPr>
      </w:pPr>
      <w:r w:rsidRPr="00FE7621">
        <w:rPr>
          <w:rFonts w:ascii="Open Sans" w:hAnsi="Open Sans" w:cs="Open Sans"/>
          <w:color w:val="080909"/>
          <w:sz w:val="18"/>
          <w:szCs w:val="18"/>
        </w:rPr>
        <w:t>The governing body, senior managers, and leaders of the organized medical staff work together to create the hospital’s mission, vision, and goals.</w:t>
      </w:r>
    </w:p>
    <w:p w14:paraId="1FCB0F84" w14:textId="77777777" w:rsidR="00DD4FCF" w:rsidRPr="00FE7621" w:rsidRDefault="00DD4FCF" w:rsidP="00FE7621">
      <w:pPr>
        <w:spacing w:after="40" w:line="200" w:lineRule="exact"/>
        <w:rPr>
          <w:rFonts w:ascii="Open Sans" w:hAnsi="Open Sans" w:cs="Open Sans"/>
          <w:color w:val="000000"/>
          <w:sz w:val="18"/>
          <w:szCs w:val="18"/>
        </w:rPr>
      </w:pPr>
    </w:p>
    <w:p w14:paraId="4C1F0F79" w14:textId="77777777" w:rsidR="00DD4FCF" w:rsidRPr="00FE7621" w:rsidRDefault="00DD4FCF" w:rsidP="00FE7621">
      <w:pPr>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LD.02.02.01 - This standard requires the governing body to define conflict of interest</w:t>
      </w:r>
    </w:p>
    <w:p w14:paraId="5EA16A99" w14:textId="77777777" w:rsidR="00DD4FCF" w:rsidRPr="00FE7621" w:rsidRDefault="00DD4FCF" w:rsidP="00FE7621">
      <w:pPr>
        <w:pStyle w:val="ListParagraph"/>
        <w:widowControl w:val="0"/>
        <w:numPr>
          <w:ilvl w:val="0"/>
          <w:numId w:val="14"/>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governing body, senior managers, and leaders of the organized medical staff work together to define in writing conflicts of interest involving leaders that could affect safety and quality of care, treatment, and services.</w:t>
      </w:r>
    </w:p>
    <w:p w14:paraId="71836105" w14:textId="77777777" w:rsidR="00DD4FCF" w:rsidRPr="00FE7621" w:rsidRDefault="00DD4FCF" w:rsidP="00FE7621">
      <w:pPr>
        <w:pStyle w:val="ListParagraph"/>
        <w:numPr>
          <w:ilvl w:val="0"/>
          <w:numId w:val="14"/>
        </w:numPr>
        <w:spacing w:after="40" w:line="200" w:lineRule="exact"/>
        <w:contextualSpacing w:val="0"/>
        <w:rPr>
          <w:rFonts w:ascii="Open Sans" w:hAnsi="Open Sans" w:cs="Open Sans"/>
          <w:color w:val="000000"/>
          <w:sz w:val="18"/>
          <w:szCs w:val="18"/>
        </w:rPr>
      </w:pPr>
      <w:r w:rsidRPr="00FE7621">
        <w:rPr>
          <w:rFonts w:ascii="Open Sans" w:hAnsi="Open Sans" w:cs="Open Sans"/>
          <w:color w:val="080909"/>
          <w:sz w:val="18"/>
          <w:szCs w:val="18"/>
        </w:rPr>
        <w:t>The governing body, senior managers, and leaders of the organized medical staff work together to develop a written policy that defines how conflict of interest involving leaders will be addressed.</w:t>
      </w:r>
    </w:p>
    <w:p w14:paraId="582DFD2B" w14:textId="77777777" w:rsidR="00DD4FCF" w:rsidRPr="00FE7621" w:rsidRDefault="00DD4FCF" w:rsidP="00FE7621">
      <w:pPr>
        <w:spacing w:after="40" w:line="200" w:lineRule="exact"/>
        <w:rPr>
          <w:rFonts w:ascii="Open Sans" w:hAnsi="Open Sans" w:cs="Open Sans"/>
          <w:color w:val="000000"/>
          <w:sz w:val="18"/>
          <w:szCs w:val="18"/>
        </w:rPr>
      </w:pPr>
    </w:p>
    <w:p w14:paraId="77563A4D" w14:textId="77777777" w:rsidR="00DD4FCF" w:rsidRPr="00FE7621" w:rsidRDefault="00DD4FCF" w:rsidP="00FE7621">
      <w:pPr>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LD.02.03.01 - This standard, at the standard level, requires that the governing body and leaders discuss quality and safety issues and define when these issues are to be discussed.  See the two EPs below.</w:t>
      </w:r>
    </w:p>
    <w:p w14:paraId="42079A74" w14:textId="77777777" w:rsidR="00DD4FCF" w:rsidRPr="00FE7621" w:rsidRDefault="00DD4FCF" w:rsidP="00FE7621">
      <w:pPr>
        <w:pStyle w:val="ListParagraph"/>
        <w:widowControl w:val="0"/>
        <w:numPr>
          <w:ilvl w:val="0"/>
          <w:numId w:val="15"/>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Leaders discuss issues that affect the hospital and the population(s) it serves, including the following: </w:t>
      </w:r>
    </w:p>
    <w:p w14:paraId="38BD1EFF" w14:textId="77777777" w:rsidR="00DD4FCF" w:rsidRPr="00FE7621" w:rsidRDefault="00DD4FCF" w:rsidP="00FE7621">
      <w:pPr>
        <w:pStyle w:val="ListParagraph"/>
        <w:widowControl w:val="0"/>
        <w:numPr>
          <w:ilvl w:val="1"/>
          <w:numId w:val="15"/>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Performance improvement activities </w:t>
      </w:r>
      <w:r w:rsidRPr="00FE7621">
        <w:rPr>
          <w:rFonts w:ascii="Open Sans" w:hAnsi="Open Sans" w:cs="Open Sans"/>
          <w:color w:val="080909"/>
          <w:sz w:val="18"/>
          <w:szCs w:val="18"/>
        </w:rPr>
        <w:tab/>
      </w:r>
    </w:p>
    <w:p w14:paraId="4A5AE1B8" w14:textId="77777777" w:rsidR="00DD4FCF" w:rsidRPr="00FE7621" w:rsidRDefault="00DD4FCF" w:rsidP="00FE7621">
      <w:pPr>
        <w:pStyle w:val="ListParagraph"/>
        <w:widowControl w:val="0"/>
        <w:numPr>
          <w:ilvl w:val="1"/>
          <w:numId w:val="15"/>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Reported safety and quality issues</w:t>
      </w:r>
    </w:p>
    <w:p w14:paraId="1B923BD1" w14:textId="77777777" w:rsidR="00DD4FCF" w:rsidRPr="00FE7621" w:rsidRDefault="00DD4FCF" w:rsidP="00FE7621">
      <w:pPr>
        <w:pStyle w:val="ListParagraph"/>
        <w:widowControl w:val="0"/>
        <w:numPr>
          <w:ilvl w:val="1"/>
          <w:numId w:val="15"/>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Proposed solutions and their impact on the hospital’s resources </w:t>
      </w:r>
      <w:r w:rsidRPr="00FE7621">
        <w:rPr>
          <w:rFonts w:ascii="Open Sans" w:hAnsi="Open Sans" w:cs="Open Sans"/>
          <w:color w:val="080909"/>
          <w:sz w:val="18"/>
          <w:szCs w:val="18"/>
        </w:rPr>
        <w:tab/>
      </w:r>
    </w:p>
    <w:p w14:paraId="540D90F3" w14:textId="77777777" w:rsidR="00DD4FCF" w:rsidRPr="00FE7621" w:rsidRDefault="00DD4FCF" w:rsidP="00FE7621">
      <w:pPr>
        <w:pStyle w:val="ListParagraph"/>
        <w:widowControl w:val="0"/>
        <w:numPr>
          <w:ilvl w:val="1"/>
          <w:numId w:val="15"/>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Reports on key quality measures and safety indicators </w:t>
      </w:r>
      <w:r w:rsidRPr="00FE7621">
        <w:rPr>
          <w:rFonts w:ascii="Open Sans" w:hAnsi="Open Sans" w:cs="Open Sans"/>
          <w:color w:val="080909"/>
          <w:sz w:val="18"/>
          <w:szCs w:val="18"/>
        </w:rPr>
        <w:tab/>
      </w:r>
    </w:p>
    <w:p w14:paraId="277E93D2" w14:textId="77777777" w:rsidR="00DD4FCF" w:rsidRPr="00FE7621" w:rsidRDefault="00DD4FCF" w:rsidP="00FE7621">
      <w:pPr>
        <w:pStyle w:val="ListParagraph"/>
        <w:widowControl w:val="0"/>
        <w:numPr>
          <w:ilvl w:val="1"/>
          <w:numId w:val="15"/>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 xml:space="preserve">Safety and quality issues specific to the population served </w:t>
      </w:r>
      <w:r w:rsidRPr="00FE7621">
        <w:rPr>
          <w:rFonts w:ascii="Open Sans" w:hAnsi="Open Sans" w:cs="Open Sans"/>
          <w:color w:val="080909"/>
          <w:sz w:val="18"/>
          <w:szCs w:val="18"/>
        </w:rPr>
        <w:tab/>
      </w:r>
    </w:p>
    <w:p w14:paraId="3DF99517" w14:textId="77777777" w:rsidR="00DD4FCF" w:rsidRPr="00FE7621" w:rsidRDefault="00DD4FCF" w:rsidP="00FE7621">
      <w:pPr>
        <w:pStyle w:val="ListParagraph"/>
        <w:widowControl w:val="0"/>
        <w:numPr>
          <w:ilvl w:val="1"/>
          <w:numId w:val="15"/>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Input from the population(s) served</w:t>
      </w:r>
    </w:p>
    <w:p w14:paraId="2AD956DE" w14:textId="77777777" w:rsidR="00DD4FCF" w:rsidRPr="00FE7621" w:rsidRDefault="00DD4FCF" w:rsidP="00FE7621">
      <w:pPr>
        <w:pStyle w:val="ListParagraph"/>
        <w:widowControl w:val="0"/>
        <w:numPr>
          <w:ilvl w:val="0"/>
          <w:numId w:val="15"/>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hospital establishes time frames for the discussion of issues that affect the hospital and the population(s) it serves</w:t>
      </w:r>
    </w:p>
    <w:p w14:paraId="6EE64F5F" w14:textId="77777777" w:rsidR="00DD4FCF" w:rsidRPr="00FE7621" w:rsidRDefault="00DD4FCF" w:rsidP="00FE7621">
      <w:pPr>
        <w:widowControl w:val="0"/>
        <w:autoSpaceDE w:val="0"/>
        <w:autoSpaceDN w:val="0"/>
        <w:adjustRightInd w:val="0"/>
        <w:spacing w:after="40" w:line="200" w:lineRule="exact"/>
        <w:rPr>
          <w:rFonts w:ascii="Open Sans" w:hAnsi="Open Sans" w:cs="Open Sans"/>
          <w:color w:val="080909"/>
          <w:sz w:val="18"/>
          <w:szCs w:val="18"/>
        </w:rPr>
      </w:pPr>
    </w:p>
    <w:p w14:paraId="147FEFB8"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LD.02.04.01 - This standard expects the governing body to approve a process for managing conflict among leaders.</w:t>
      </w:r>
    </w:p>
    <w:p w14:paraId="0B1C113B" w14:textId="77777777" w:rsidR="00DD4FCF" w:rsidRPr="00FE7621" w:rsidRDefault="00DD4FCF" w:rsidP="00FE7621">
      <w:pPr>
        <w:pStyle w:val="ListParagraph"/>
        <w:widowControl w:val="0"/>
        <w:numPr>
          <w:ilvl w:val="0"/>
          <w:numId w:val="16"/>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Senior managers and leaders of the organized medical staff work with the governing body to develop an ongoing process for managing conflict among leadership groups.</w:t>
      </w:r>
    </w:p>
    <w:p w14:paraId="4ECDBE6D" w14:textId="77777777" w:rsidR="00DD4FCF" w:rsidRPr="00FE7621" w:rsidRDefault="00DD4FCF" w:rsidP="00FE7621">
      <w:pPr>
        <w:pStyle w:val="ListParagraph"/>
        <w:widowControl w:val="0"/>
        <w:numPr>
          <w:ilvl w:val="0"/>
          <w:numId w:val="16"/>
        </w:numPr>
        <w:autoSpaceDE w:val="0"/>
        <w:autoSpaceDN w:val="0"/>
        <w:adjustRightInd w:val="0"/>
        <w:spacing w:after="40" w:line="200" w:lineRule="exact"/>
        <w:contextualSpacing w:val="0"/>
        <w:rPr>
          <w:rFonts w:ascii="Open Sans" w:hAnsi="Open Sans" w:cs="Open Sans"/>
          <w:b/>
          <w:bCs/>
          <w:color w:val="080909"/>
          <w:sz w:val="18"/>
          <w:szCs w:val="18"/>
        </w:rPr>
      </w:pPr>
      <w:r w:rsidRPr="00FE7621">
        <w:rPr>
          <w:rFonts w:ascii="Open Sans" w:hAnsi="Open Sans" w:cs="Open Sans"/>
          <w:color w:val="080909"/>
          <w:sz w:val="18"/>
          <w:szCs w:val="18"/>
        </w:rPr>
        <w:t>The governing body approves the process for managing conflict among leadership groups.</w:t>
      </w:r>
    </w:p>
    <w:p w14:paraId="460F4C11"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p>
    <w:p w14:paraId="53E5F44D"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 xml:space="preserve">PI.01.01.01 - This standard expects the governing body to approve the frequency of data collection for the performance improvement initiatives.  </w:t>
      </w:r>
    </w:p>
    <w:p w14:paraId="37DA1CCB" w14:textId="77777777" w:rsidR="00DD4FCF" w:rsidRPr="00FE7621" w:rsidRDefault="00DD4FCF" w:rsidP="00FE7621">
      <w:pPr>
        <w:pStyle w:val="ListParagraph"/>
        <w:widowControl w:val="0"/>
        <w:numPr>
          <w:ilvl w:val="0"/>
          <w:numId w:val="17"/>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leaders identify the frequency for data collection.  Note: For hospitals that use Joint Commission accreditation for deemed status purposes: The leaders that specify the frequency and detail of data collection is the governing body.</w:t>
      </w:r>
    </w:p>
    <w:p w14:paraId="458F6406"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p>
    <w:p w14:paraId="28FD1093"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LD.04.01.03 - The governing body must approve the budget</w:t>
      </w:r>
    </w:p>
    <w:p w14:paraId="0F719B71" w14:textId="77777777" w:rsidR="00DD4FCF" w:rsidRPr="00FE7621" w:rsidRDefault="00DD4FCF" w:rsidP="00FE7621">
      <w:pPr>
        <w:pStyle w:val="ListParagraph"/>
        <w:widowControl w:val="0"/>
        <w:numPr>
          <w:ilvl w:val="0"/>
          <w:numId w:val="17"/>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governing body approves an annual operating budget and, when needed, a long-term capital expenditure plan.</w:t>
      </w:r>
    </w:p>
    <w:p w14:paraId="1464EED5"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p>
    <w:p w14:paraId="7F2B1E5E"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r w:rsidRPr="00FE7621">
        <w:rPr>
          <w:rFonts w:ascii="Open Sans" w:hAnsi="Open Sans" w:cs="Open Sans"/>
          <w:b/>
          <w:bCs/>
          <w:color w:val="080909"/>
          <w:sz w:val="18"/>
          <w:szCs w:val="18"/>
        </w:rPr>
        <w:t>RI.01.07.01 - The note for EP 1 states the governing body is responsible for the complaint resolution process, but may delegate this responsibility</w:t>
      </w:r>
    </w:p>
    <w:p w14:paraId="3438F6CF" w14:textId="77777777" w:rsidR="00DD4FCF" w:rsidRPr="00FE7621" w:rsidRDefault="00DD4FCF" w:rsidP="00FE7621">
      <w:pPr>
        <w:pStyle w:val="ListParagraph"/>
        <w:widowControl w:val="0"/>
        <w:numPr>
          <w:ilvl w:val="0"/>
          <w:numId w:val="17"/>
        </w:numPr>
        <w:autoSpaceDE w:val="0"/>
        <w:autoSpaceDN w:val="0"/>
        <w:adjustRightInd w:val="0"/>
        <w:spacing w:after="40" w:line="200" w:lineRule="exact"/>
        <w:contextualSpacing w:val="0"/>
        <w:rPr>
          <w:rFonts w:ascii="Open Sans" w:hAnsi="Open Sans" w:cs="Open Sans"/>
          <w:color w:val="080909"/>
          <w:sz w:val="18"/>
          <w:szCs w:val="18"/>
        </w:rPr>
      </w:pPr>
      <w:r w:rsidRPr="00FE7621">
        <w:rPr>
          <w:rFonts w:ascii="Open Sans" w:hAnsi="Open Sans" w:cs="Open Sans"/>
          <w:color w:val="080909"/>
          <w:sz w:val="18"/>
          <w:szCs w:val="18"/>
        </w:rPr>
        <w:t>The hospital establishes a complaint resolution process. (See also LD.04.01.07, EP 1; MS.09.01.01, EP 1) Note: The governing body is responsible for the effective operation of the complaint resolution process unless it delegates this responsibility in writing to a complaint resolution committee.</w:t>
      </w:r>
    </w:p>
    <w:p w14:paraId="08612404" w14:textId="77777777" w:rsidR="00DD4FCF" w:rsidRPr="00FE7621" w:rsidRDefault="00DD4FCF" w:rsidP="00FE7621">
      <w:pPr>
        <w:widowControl w:val="0"/>
        <w:autoSpaceDE w:val="0"/>
        <w:autoSpaceDN w:val="0"/>
        <w:adjustRightInd w:val="0"/>
        <w:spacing w:after="40" w:line="200" w:lineRule="exact"/>
        <w:rPr>
          <w:rFonts w:ascii="Open Sans" w:hAnsi="Open Sans" w:cs="Open Sans"/>
          <w:b/>
          <w:bCs/>
          <w:color w:val="080909"/>
          <w:sz w:val="18"/>
          <w:szCs w:val="18"/>
        </w:rPr>
      </w:pPr>
    </w:p>
    <w:p w14:paraId="11AF6581" w14:textId="77777777" w:rsidR="00DD4FCF" w:rsidRPr="00FE7621" w:rsidRDefault="00DD4FCF" w:rsidP="00FE7621">
      <w:pPr>
        <w:widowControl w:val="0"/>
        <w:autoSpaceDE w:val="0"/>
        <w:autoSpaceDN w:val="0"/>
        <w:adjustRightInd w:val="0"/>
        <w:spacing w:after="40" w:line="200" w:lineRule="exact"/>
        <w:rPr>
          <w:rFonts w:ascii="Open Sans" w:hAnsi="Open Sans" w:cs="Open Sans"/>
          <w:b/>
          <w:color w:val="080909"/>
          <w:sz w:val="18"/>
          <w:szCs w:val="18"/>
        </w:rPr>
      </w:pPr>
      <w:r w:rsidRPr="00FE7621">
        <w:rPr>
          <w:rFonts w:ascii="Open Sans" w:hAnsi="Open Sans" w:cs="Open Sans"/>
          <w:b/>
          <w:bCs/>
          <w:color w:val="080909"/>
          <w:sz w:val="18"/>
          <w:szCs w:val="18"/>
        </w:rPr>
        <w:t>LD.04.03.09 - The note in EP 4 requires the governing body to oversee clinical contracts, the note goes on to describe credentialing for telemedicine.</w:t>
      </w:r>
    </w:p>
    <w:p w14:paraId="6C2AA80A" w14:textId="6D4D5D56" w:rsidR="00C831D3" w:rsidRPr="007E5839" w:rsidRDefault="00DD4FCF" w:rsidP="007E5839">
      <w:pPr>
        <w:pStyle w:val="ListParagraph"/>
        <w:numPr>
          <w:ilvl w:val="0"/>
          <w:numId w:val="17"/>
        </w:numPr>
        <w:spacing w:after="40" w:line="200" w:lineRule="exact"/>
        <w:rPr>
          <w:rFonts w:ascii="Open Sans" w:hAnsi="Open Sans" w:cs="Open Sans"/>
          <w:sz w:val="18"/>
          <w:szCs w:val="18"/>
        </w:rPr>
      </w:pPr>
      <w:r w:rsidRPr="007E5839">
        <w:rPr>
          <w:rFonts w:ascii="Open Sans" w:hAnsi="Open Sans" w:cs="Open Sans"/>
          <w:color w:val="080909"/>
          <w:sz w:val="18"/>
          <w:szCs w:val="18"/>
        </w:rPr>
        <w:t>Leaders monitor contracted services by establishing expectations for the performance of the contracted services.  Note 3: For hospitals that use Joint Commission accreditation for deemed status purposes: The leaders who monitor the contracted services are the governing body. All licensed independent practitioners who are responsible for the patient’s care, treatment, and services via a telemedicine link are credentialed and privileged to do so at the originating site</w:t>
      </w:r>
      <w:r w:rsidR="00FE7621" w:rsidRPr="007E5839">
        <w:rPr>
          <w:rFonts w:ascii="Open Sans" w:hAnsi="Open Sans" w:cs="Open Sans"/>
          <w:color w:val="080909"/>
          <w:sz w:val="18"/>
          <w:szCs w:val="18"/>
        </w:rPr>
        <w:t>.</w:t>
      </w:r>
    </w:p>
    <w:sectPr w:rsidR="00C831D3" w:rsidRPr="007E5839" w:rsidSect="00C831D3">
      <w:headerReference w:type="default" r:id="rId11"/>
      <w:footerReference w:type="even" r:id="rId12"/>
      <w:footerReference w:type="default" r:id="rId13"/>
      <w:headerReference w:type="first" r:id="rId14"/>
      <w:footerReference w:type="first" r:id="rId15"/>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CDB2" w14:textId="77777777" w:rsidR="00635EE8" w:rsidRDefault="00635EE8" w:rsidP="002B5523">
      <w:r>
        <w:separator/>
      </w:r>
    </w:p>
  </w:endnote>
  <w:endnote w:type="continuationSeparator" w:id="0">
    <w:p w14:paraId="40D4FC4A" w14:textId="77777777" w:rsidR="00635EE8" w:rsidRDefault="00635EE8"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enir Next Condensed">
    <w:altName w:val="Calibri"/>
    <w:charset w:val="00"/>
    <w:family w:val="swiss"/>
    <w:pitch w:val="variable"/>
    <w:sig w:usb0="8000002F" w:usb1="5000204A" w:usb2="00000000" w:usb3="00000000" w:csb0="0000009B"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EndPr>
      <w:rPr>
        <w:rStyle w:val="PageNumber"/>
      </w:rPr>
    </w:sdtEnd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E126" w14:textId="77777777" w:rsidR="00E15A0D" w:rsidRDefault="00E15A0D" w:rsidP="00CD197C">
    <w:pPr>
      <w:pStyle w:val="Footer"/>
      <w:tabs>
        <w:tab w:val="clear" w:pos="4680"/>
        <w:tab w:val="clear" w:pos="9360"/>
        <w:tab w:val="center" w:pos="5400"/>
        <w:tab w:val="right" w:pos="10800"/>
      </w:tabs>
      <w:ind w:right="360"/>
      <w:rPr>
        <w:rFonts w:ascii="Montserrat" w:hAnsi="Montserrat"/>
        <w:i/>
        <w:iCs/>
        <w:sz w:val="13"/>
        <w:szCs w:val="12"/>
      </w:rPr>
    </w:pPr>
  </w:p>
  <w:sdt>
    <w:sdtPr>
      <w:rPr>
        <w:rStyle w:val="PageNumber"/>
        <w:rFonts w:ascii="Montserrat" w:hAnsi="Montserrat"/>
        <w:i/>
        <w:iCs/>
        <w:sz w:val="13"/>
        <w:szCs w:val="12"/>
      </w:rPr>
      <w:id w:val="451220964"/>
      <w:docPartObj>
        <w:docPartGallery w:val="Page Numbers (Bottom of Page)"/>
        <w:docPartUnique/>
      </w:docPartObj>
    </w:sdtPr>
    <w:sdtEndPr>
      <w:rPr>
        <w:rStyle w:val="PageNumber"/>
      </w:rPr>
    </w:sdtEndPr>
    <w:sdtContent>
      <w:p w14:paraId="543BC2E6" w14:textId="77777777" w:rsidR="00E15A0D" w:rsidRPr="00E15A0D" w:rsidRDefault="00E15A0D" w:rsidP="00E15A0D">
        <w:pPr>
          <w:pStyle w:val="Footer"/>
          <w:framePr w:wrap="none" w:vAnchor="text" w:hAnchor="page" w:x="11073" w:y="10"/>
          <w:rPr>
            <w:rStyle w:val="PageNumber"/>
            <w:rFonts w:ascii="Montserrat" w:hAnsi="Montserrat"/>
            <w:i/>
            <w:iCs/>
            <w:sz w:val="13"/>
            <w:szCs w:val="12"/>
          </w:rPr>
        </w:pPr>
        <w:r w:rsidRPr="00E15A0D">
          <w:rPr>
            <w:rStyle w:val="PageNumber"/>
            <w:rFonts w:ascii="Montserrat" w:hAnsi="Montserrat"/>
            <w:i/>
            <w:iCs/>
            <w:sz w:val="13"/>
            <w:szCs w:val="12"/>
          </w:rPr>
          <w:t xml:space="preserve">Page </w:t>
        </w:r>
        <w:r w:rsidRPr="00E15A0D">
          <w:rPr>
            <w:rStyle w:val="PageNumber"/>
            <w:rFonts w:ascii="Montserrat" w:hAnsi="Montserrat"/>
            <w:i/>
            <w:iCs/>
            <w:sz w:val="13"/>
            <w:szCs w:val="12"/>
          </w:rPr>
          <w:fldChar w:fldCharType="begin"/>
        </w:r>
        <w:r w:rsidRPr="00E15A0D">
          <w:rPr>
            <w:rStyle w:val="PageNumber"/>
            <w:rFonts w:ascii="Montserrat" w:hAnsi="Montserrat"/>
            <w:i/>
            <w:iCs/>
            <w:sz w:val="13"/>
            <w:szCs w:val="12"/>
          </w:rPr>
          <w:instrText xml:space="preserve"> PAGE </w:instrText>
        </w:r>
        <w:r w:rsidRPr="00E15A0D">
          <w:rPr>
            <w:rStyle w:val="PageNumber"/>
            <w:rFonts w:ascii="Montserrat" w:hAnsi="Montserrat"/>
            <w:i/>
            <w:iCs/>
            <w:sz w:val="13"/>
            <w:szCs w:val="12"/>
          </w:rPr>
          <w:fldChar w:fldCharType="separate"/>
        </w:r>
        <w:r w:rsidRPr="00E15A0D">
          <w:rPr>
            <w:rStyle w:val="PageNumber"/>
            <w:rFonts w:ascii="Montserrat" w:hAnsi="Montserrat"/>
            <w:i/>
            <w:iCs/>
            <w:sz w:val="13"/>
            <w:szCs w:val="12"/>
          </w:rPr>
          <w:t>1</w:t>
        </w:r>
        <w:r w:rsidRPr="00E15A0D">
          <w:rPr>
            <w:rStyle w:val="PageNumber"/>
            <w:rFonts w:ascii="Montserrat" w:hAnsi="Montserrat"/>
            <w:i/>
            <w:iCs/>
            <w:sz w:val="13"/>
            <w:szCs w:val="12"/>
          </w:rPr>
          <w:fldChar w:fldCharType="end"/>
        </w:r>
      </w:p>
    </w:sdtContent>
  </w:sdt>
  <w:p w14:paraId="6B2115A7" w14:textId="02E330D4" w:rsidR="002B5523" w:rsidRPr="00E15A0D" w:rsidRDefault="00CD197C" w:rsidP="00CD197C">
    <w:pPr>
      <w:pStyle w:val="Footer"/>
      <w:tabs>
        <w:tab w:val="clear" w:pos="4680"/>
        <w:tab w:val="clear" w:pos="9360"/>
        <w:tab w:val="center" w:pos="5400"/>
        <w:tab w:val="right" w:pos="10800"/>
      </w:tabs>
      <w:ind w:right="360"/>
      <w:rPr>
        <w:rFonts w:ascii="Montserrat" w:hAnsi="Montserrat"/>
        <w:i/>
        <w:iCs/>
        <w:sz w:val="13"/>
        <w:szCs w:val="12"/>
      </w:rPr>
    </w:pPr>
    <w:r w:rsidRPr="00E15A0D">
      <w:rPr>
        <w:rFonts w:ascii="Montserrat" w:hAnsi="Montserrat"/>
        <w:i/>
        <w:iCs/>
        <w:sz w:val="13"/>
        <w:szCs w:val="12"/>
      </w:rPr>
      <w:t>An HBS</w:t>
    </w:r>
    <w:r w:rsidR="00770BD3" w:rsidRPr="00E15A0D">
      <w:rPr>
        <w:rFonts w:ascii="Montserrat" w:hAnsi="Montserrat"/>
        <w:i/>
        <w:iCs/>
        <w:sz w:val="13"/>
        <w:szCs w:val="12"/>
      </w:rPr>
      <w:t xml:space="preserve"> Company</w:t>
    </w:r>
    <w:r w:rsidRPr="00E15A0D">
      <w:rPr>
        <w:rFonts w:ascii="Montserrat" w:hAnsi="Montserrat"/>
        <w:i/>
        <w:iCs/>
        <w:sz w:val="13"/>
        <w:szCs w:val="12"/>
      </w:rPr>
      <w:tab/>
      <w:t>Patton Healthcare Consulting and Barrins &amp; Associates</w:t>
    </w:r>
    <w:r w:rsidRPr="00E15A0D">
      <w:rPr>
        <w:rFonts w:ascii="Montserrat" w:hAnsi="Montserrat"/>
        <w:i/>
        <w:iCs/>
        <w:sz w:val="13"/>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2335" w14:textId="77777777" w:rsidR="00E15A0D" w:rsidRDefault="00E15A0D" w:rsidP="004A632C">
    <w:pPr>
      <w:pStyle w:val="Footer"/>
      <w:tabs>
        <w:tab w:val="clear" w:pos="4680"/>
        <w:tab w:val="clear" w:pos="9360"/>
        <w:tab w:val="center" w:pos="5400"/>
        <w:tab w:val="right" w:pos="10800"/>
      </w:tabs>
      <w:ind w:right="360"/>
      <w:rPr>
        <w:rFonts w:ascii="Montserrat" w:hAnsi="Montserrat" w:cs="Open Sans Light"/>
        <w:i/>
        <w:iCs/>
        <w:sz w:val="13"/>
        <w:szCs w:val="13"/>
      </w:rPr>
    </w:pPr>
  </w:p>
  <w:sdt>
    <w:sdtPr>
      <w:rPr>
        <w:rStyle w:val="PageNumber"/>
        <w:rFonts w:ascii="Montserrat" w:hAnsi="Montserrat" w:cs="Open Sans Light"/>
        <w:i/>
        <w:iCs/>
        <w:sz w:val="13"/>
        <w:szCs w:val="13"/>
      </w:rPr>
      <w:id w:val="-907988231"/>
      <w:docPartObj>
        <w:docPartGallery w:val="Page Numbers (Bottom of Page)"/>
        <w:docPartUnique/>
      </w:docPartObj>
    </w:sdtPr>
    <w:sdtEndPr>
      <w:rPr>
        <w:rStyle w:val="PageNumber"/>
      </w:rPr>
    </w:sdtEndPr>
    <w:sdtContent>
      <w:p w14:paraId="70583481" w14:textId="77777777" w:rsidR="00E15A0D" w:rsidRPr="00E15A0D" w:rsidRDefault="00E15A0D" w:rsidP="00E15A0D">
        <w:pPr>
          <w:pStyle w:val="Footer"/>
          <w:framePr w:wrap="none" w:vAnchor="text" w:hAnchor="margin" w:xAlign="right" w:y="-3"/>
          <w:rPr>
            <w:rStyle w:val="PageNumber"/>
            <w:rFonts w:ascii="Montserrat" w:hAnsi="Montserrat" w:cs="Open Sans Light"/>
            <w:i/>
            <w:iCs/>
            <w:sz w:val="13"/>
            <w:szCs w:val="13"/>
          </w:rPr>
        </w:pPr>
        <w:r w:rsidRPr="00E15A0D">
          <w:rPr>
            <w:rStyle w:val="PageNumber"/>
            <w:rFonts w:ascii="Montserrat" w:hAnsi="Montserrat" w:cs="Open Sans Light"/>
            <w:i/>
            <w:iCs/>
            <w:sz w:val="13"/>
            <w:szCs w:val="13"/>
          </w:rPr>
          <w:t xml:space="preserve">Page </w:t>
        </w:r>
        <w:r w:rsidRPr="00E15A0D">
          <w:rPr>
            <w:rStyle w:val="PageNumber"/>
            <w:rFonts w:ascii="Montserrat" w:hAnsi="Montserrat" w:cs="Open Sans Light"/>
            <w:i/>
            <w:iCs/>
            <w:sz w:val="13"/>
            <w:szCs w:val="13"/>
          </w:rPr>
          <w:fldChar w:fldCharType="begin"/>
        </w:r>
        <w:r w:rsidRPr="00E15A0D">
          <w:rPr>
            <w:rStyle w:val="PageNumber"/>
            <w:rFonts w:ascii="Montserrat" w:hAnsi="Montserrat" w:cs="Open Sans Light"/>
            <w:i/>
            <w:iCs/>
            <w:sz w:val="13"/>
            <w:szCs w:val="13"/>
          </w:rPr>
          <w:instrText xml:space="preserve"> PAGE </w:instrText>
        </w:r>
        <w:r w:rsidRPr="00E15A0D">
          <w:rPr>
            <w:rStyle w:val="PageNumber"/>
            <w:rFonts w:ascii="Montserrat" w:hAnsi="Montserrat" w:cs="Open Sans Light"/>
            <w:i/>
            <w:iCs/>
            <w:sz w:val="13"/>
            <w:szCs w:val="13"/>
          </w:rPr>
          <w:fldChar w:fldCharType="separate"/>
        </w:r>
        <w:r w:rsidRPr="00E15A0D">
          <w:rPr>
            <w:rStyle w:val="PageNumber"/>
            <w:rFonts w:ascii="Montserrat" w:hAnsi="Montserrat" w:cs="Open Sans Light"/>
            <w:i/>
            <w:iCs/>
            <w:sz w:val="13"/>
            <w:szCs w:val="13"/>
          </w:rPr>
          <w:t>2</w:t>
        </w:r>
        <w:r w:rsidRPr="00E15A0D">
          <w:rPr>
            <w:rStyle w:val="PageNumber"/>
            <w:rFonts w:ascii="Montserrat" w:hAnsi="Montserrat" w:cs="Open Sans Light"/>
            <w:i/>
            <w:iCs/>
            <w:sz w:val="13"/>
            <w:szCs w:val="13"/>
          </w:rPr>
          <w:fldChar w:fldCharType="end"/>
        </w:r>
      </w:p>
    </w:sdtContent>
  </w:sdt>
  <w:p w14:paraId="33246B77" w14:textId="732243C7" w:rsidR="00CD197C" w:rsidRPr="00E15A0D" w:rsidRDefault="004A632C" w:rsidP="004A632C">
    <w:pPr>
      <w:pStyle w:val="Footer"/>
      <w:tabs>
        <w:tab w:val="clear" w:pos="4680"/>
        <w:tab w:val="clear" w:pos="9360"/>
        <w:tab w:val="center" w:pos="5400"/>
        <w:tab w:val="right" w:pos="10800"/>
      </w:tabs>
      <w:ind w:right="360"/>
      <w:rPr>
        <w:rFonts w:ascii="Montserrat" w:hAnsi="Montserrat" w:cs="Open Sans Light"/>
        <w:i/>
        <w:iCs/>
        <w:sz w:val="13"/>
        <w:szCs w:val="13"/>
      </w:rPr>
    </w:pPr>
    <w:r w:rsidRPr="00E15A0D">
      <w:rPr>
        <w:rFonts w:ascii="Montserrat" w:hAnsi="Montserrat" w:cs="Open Sans Light"/>
        <w:i/>
        <w:iCs/>
        <w:sz w:val="13"/>
        <w:szCs w:val="13"/>
      </w:rPr>
      <w:t>An HBS</w:t>
    </w:r>
    <w:r w:rsidR="0059742A" w:rsidRPr="00E15A0D">
      <w:rPr>
        <w:rFonts w:ascii="Montserrat" w:hAnsi="Montserrat" w:cs="Open Sans Light"/>
        <w:i/>
        <w:iCs/>
        <w:sz w:val="13"/>
        <w:szCs w:val="13"/>
      </w:rPr>
      <w:t xml:space="preserve"> Company</w:t>
    </w:r>
    <w:r w:rsidRPr="00E15A0D">
      <w:rPr>
        <w:rFonts w:ascii="Montserrat" w:hAnsi="Montserrat" w:cs="Open Sans Light"/>
        <w:i/>
        <w:iCs/>
        <w:sz w:val="13"/>
        <w:szCs w:val="13"/>
      </w:rPr>
      <w:tab/>
      <w:t>Patton Healthcare Consulting and Barrins &amp; Associates</w:t>
    </w:r>
    <w:r w:rsidRPr="00E15A0D">
      <w:rPr>
        <w:rFonts w:ascii="Montserrat" w:hAnsi="Montserrat" w:cs="Open Sans Light"/>
        <w:i/>
        <w:iCs/>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4027" w14:textId="77777777" w:rsidR="00635EE8" w:rsidRDefault="00635EE8" w:rsidP="002B5523">
      <w:r>
        <w:separator/>
      </w:r>
    </w:p>
  </w:footnote>
  <w:footnote w:type="continuationSeparator" w:id="0">
    <w:p w14:paraId="743FC1DF" w14:textId="77777777" w:rsidR="00635EE8" w:rsidRDefault="00635EE8"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B88D" w14:textId="0AB38642" w:rsidR="003C604C" w:rsidRPr="00E15A0D" w:rsidRDefault="007E5839" w:rsidP="004A632C">
    <w:pPr>
      <w:pStyle w:val="Header"/>
      <w:jc w:val="center"/>
      <w:rPr>
        <w:rFonts w:ascii="Montserrat" w:hAnsi="Montserrat"/>
        <w:sz w:val="18"/>
        <w:szCs w:val="18"/>
      </w:rPr>
    </w:pPr>
    <w:r>
      <w:rPr>
        <w:rFonts w:ascii="Montserrat" w:hAnsi="Montserrat"/>
        <w:sz w:val="18"/>
        <w:szCs w:val="18"/>
      </w:rPr>
      <w:t>GOVERNING BODY DUTIES</w:t>
    </w:r>
  </w:p>
  <w:p w14:paraId="42665321" w14:textId="77777777" w:rsidR="004A632C" w:rsidRPr="004A632C" w:rsidRDefault="004A632C" w:rsidP="004A632C">
    <w:pPr>
      <w:pStyle w:val="Header"/>
      <w:jc w:val="center"/>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D72A" w14:textId="35A11DED" w:rsidR="00522048" w:rsidRPr="00522048" w:rsidRDefault="00770BD3" w:rsidP="00522048">
    <w:pPr>
      <w:pStyle w:val="Header"/>
      <w:rPr>
        <w:rFonts w:ascii="Arial" w:hAnsi="Arial" w:cs="Arial"/>
        <w:b/>
        <w:bCs/>
        <w:szCs w:val="26"/>
      </w:rPr>
    </w:pPr>
    <w:r>
      <w:rPr>
        <w:rFonts w:ascii="Arial" w:hAnsi="Arial" w:cs="Arial"/>
        <w:b/>
        <w:bCs/>
        <w:sz w:val="24"/>
        <w:szCs w:val="26"/>
      </w:rPr>
      <w:t xml:space="preserve">  </w:t>
    </w:r>
    <w:r w:rsidR="00522048" w:rsidRPr="00522048">
      <w:rPr>
        <w:rFonts w:ascii="Arial" w:hAnsi="Arial" w:cs="Arial"/>
        <w:b/>
        <w:bCs/>
        <w:szCs w:val="26"/>
      </w:rPr>
      <w:drawing>
        <wp:inline distT="0" distB="0" distL="0" distR="0" wp14:anchorId="68D51642" wp14:editId="578C37EA">
          <wp:extent cx="2524539" cy="451378"/>
          <wp:effectExtent l="0" t="0" r="0" b="6350"/>
          <wp:docPr id="831287021"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87021" name="Picture 2"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834" cy="458225"/>
                  </a:xfrm>
                  <a:prstGeom prst="rect">
                    <a:avLst/>
                  </a:prstGeom>
                  <a:noFill/>
                  <a:ln>
                    <a:noFill/>
                  </a:ln>
                </pic:spPr>
              </pic:pic>
            </a:graphicData>
          </a:graphic>
        </wp:inline>
      </w:drawing>
    </w:r>
  </w:p>
  <w:p w14:paraId="40FB3556" w14:textId="61224364" w:rsidR="00A13538" w:rsidRPr="00A13538" w:rsidRDefault="00A13538" w:rsidP="00A13538">
    <w:pPr>
      <w:pStyle w:val="Header"/>
      <w:rPr>
        <w:rFonts w:ascii="Arial" w:hAnsi="Arial" w:cs="Arial"/>
        <w:b/>
        <w:bCs/>
        <w:sz w:val="24"/>
        <w:szCs w:val="26"/>
      </w:rPr>
    </w:pPr>
  </w:p>
  <w:p w14:paraId="149E6806" w14:textId="71AB9880" w:rsidR="00CD197C" w:rsidRPr="005A3FEF" w:rsidRDefault="00CD197C" w:rsidP="00AA39DC">
    <w:pPr>
      <w:pStyle w:val="Header"/>
      <w:jc w:val="right"/>
      <w:rPr>
        <w:rFonts w:ascii="Montserrat SemiBold" w:hAnsi="Montserrat SemiBold" w:cs="Arial"/>
        <w:b/>
        <w:bCs/>
        <w:sz w:val="24"/>
        <w:szCs w:val="28"/>
      </w:rPr>
    </w:pPr>
  </w:p>
  <w:p w14:paraId="6B98FB9E" w14:textId="13F7F50E" w:rsidR="00AA39DC" w:rsidRPr="005A3FEF" w:rsidRDefault="00FE7621" w:rsidP="00AA39DC">
    <w:pPr>
      <w:pStyle w:val="Header"/>
      <w:jc w:val="right"/>
      <w:rPr>
        <w:rFonts w:ascii="Montserrat SemiBold" w:hAnsi="Montserrat SemiBold" w:cs="Arial"/>
        <w:b/>
        <w:bCs/>
        <w:sz w:val="24"/>
        <w:szCs w:val="28"/>
      </w:rPr>
    </w:pPr>
    <w:r>
      <w:rPr>
        <w:rFonts w:ascii="Montserrat SemiBold" w:hAnsi="Montserrat SemiBold" w:cs="Arial"/>
        <w:b/>
        <w:bCs/>
        <w:sz w:val="24"/>
        <w:szCs w:val="28"/>
      </w:rPr>
      <w:t>GOVERNING BODY DUTIES</w:t>
    </w:r>
  </w:p>
  <w:p w14:paraId="4EF54E7F" w14:textId="77777777" w:rsidR="005C30D7" w:rsidRPr="00AA39DC" w:rsidRDefault="005C30D7" w:rsidP="00AA39DC">
    <w:pPr>
      <w:pStyle w:val="Header"/>
      <w:jc w:val="right"/>
      <w:rPr>
        <w:rFonts w:ascii="Arial" w:hAnsi="Arial" w:cs="Arial"/>
        <w:b/>
        <w:bCs/>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E"/>
    <w:multiLevelType w:val="hybridMultilevel"/>
    <w:tmpl w:val="EDFEA874"/>
    <w:lvl w:ilvl="0" w:tplc="9D9011CA">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F39"/>
    <w:multiLevelType w:val="hybridMultilevel"/>
    <w:tmpl w:val="68109AAE"/>
    <w:lvl w:ilvl="0" w:tplc="FCE68FFE">
      <w:numFmt w:val="bullet"/>
      <w:lvlText w:val="-"/>
      <w:lvlJc w:val="left"/>
      <w:pPr>
        <w:ind w:left="900" w:hanging="360"/>
      </w:pPr>
      <w:rPr>
        <w:rFonts w:ascii="Arial Narrow" w:eastAsiaTheme="minorHAnsi" w:hAnsi="Arial Narrow" w:cs="Times New Roman (Body C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3956163"/>
    <w:multiLevelType w:val="hybridMultilevel"/>
    <w:tmpl w:val="E0C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B20AE"/>
    <w:multiLevelType w:val="hybridMultilevel"/>
    <w:tmpl w:val="B7D05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60BF"/>
    <w:multiLevelType w:val="hybridMultilevel"/>
    <w:tmpl w:val="704A27F2"/>
    <w:lvl w:ilvl="0" w:tplc="0409000F">
      <w:start w:val="1"/>
      <w:numFmt w:val="decimal"/>
      <w:lvlText w:val="%1."/>
      <w:lvlJc w:val="left"/>
      <w:pPr>
        <w:ind w:left="360" w:hanging="360"/>
      </w:pPr>
      <w:rPr>
        <w:rFonts w:hint="default"/>
      </w:rPr>
    </w:lvl>
    <w:lvl w:ilvl="1" w:tplc="591012F6">
      <w:numFmt w:val="bullet"/>
      <w:lvlText w:val="-"/>
      <w:lvlJc w:val="left"/>
      <w:pPr>
        <w:ind w:left="1080" w:hanging="360"/>
      </w:pPr>
      <w:rPr>
        <w:rFonts w:ascii="Cambria" w:eastAsiaTheme="minorEastAsia"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1804AC"/>
    <w:multiLevelType w:val="hybridMultilevel"/>
    <w:tmpl w:val="AF5E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8755B"/>
    <w:multiLevelType w:val="hybridMultilevel"/>
    <w:tmpl w:val="8EBAE21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D75A7"/>
    <w:multiLevelType w:val="hybridMultilevel"/>
    <w:tmpl w:val="D1BE0C4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82A07"/>
    <w:multiLevelType w:val="hybridMultilevel"/>
    <w:tmpl w:val="26529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F02C9"/>
    <w:multiLevelType w:val="hybridMultilevel"/>
    <w:tmpl w:val="2040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056D9"/>
    <w:multiLevelType w:val="hybridMultilevel"/>
    <w:tmpl w:val="45C04F68"/>
    <w:lvl w:ilvl="0" w:tplc="DA22C85E">
      <w:numFmt w:val="bullet"/>
      <w:lvlText w:val="-"/>
      <w:lvlJc w:val="left"/>
      <w:pPr>
        <w:ind w:left="900" w:hanging="360"/>
      </w:pPr>
      <w:rPr>
        <w:rFonts w:ascii="Arial Narrow" w:eastAsiaTheme="minorHAnsi" w:hAnsi="Arial Narrow" w:cs="Times New Roman (Body C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D115450"/>
    <w:multiLevelType w:val="hybridMultilevel"/>
    <w:tmpl w:val="CE98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805B1"/>
    <w:multiLevelType w:val="hybridMultilevel"/>
    <w:tmpl w:val="FAC63342"/>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050CF"/>
    <w:multiLevelType w:val="hybridMultilevel"/>
    <w:tmpl w:val="9770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25C44"/>
    <w:multiLevelType w:val="hybridMultilevel"/>
    <w:tmpl w:val="BD34F16C"/>
    <w:lvl w:ilvl="0" w:tplc="89BEE304">
      <w:numFmt w:val="bullet"/>
      <w:lvlText w:val="-"/>
      <w:lvlJc w:val="left"/>
      <w:pPr>
        <w:ind w:left="780" w:hanging="42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85999"/>
    <w:multiLevelType w:val="hybridMultilevel"/>
    <w:tmpl w:val="3AA892E4"/>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12822"/>
    <w:multiLevelType w:val="hybridMultilevel"/>
    <w:tmpl w:val="955C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602284">
    <w:abstractNumId w:val="4"/>
  </w:num>
  <w:num w:numId="2" w16cid:durableId="409500556">
    <w:abstractNumId w:val="1"/>
  </w:num>
  <w:num w:numId="3" w16cid:durableId="2023386192">
    <w:abstractNumId w:val="0"/>
  </w:num>
  <w:num w:numId="4" w16cid:durableId="1167984498">
    <w:abstractNumId w:val="10"/>
  </w:num>
  <w:num w:numId="5" w16cid:durableId="147669801">
    <w:abstractNumId w:val="6"/>
  </w:num>
  <w:num w:numId="6" w16cid:durableId="1127624776">
    <w:abstractNumId w:val="15"/>
  </w:num>
  <w:num w:numId="7" w16cid:durableId="136578292">
    <w:abstractNumId w:val="14"/>
  </w:num>
  <w:num w:numId="8" w16cid:durableId="2051958114">
    <w:abstractNumId w:val="7"/>
  </w:num>
  <w:num w:numId="9" w16cid:durableId="79328075">
    <w:abstractNumId w:val="12"/>
  </w:num>
  <w:num w:numId="10" w16cid:durableId="1431242716">
    <w:abstractNumId w:val="8"/>
  </w:num>
  <w:num w:numId="11" w16cid:durableId="1238636161">
    <w:abstractNumId w:val="5"/>
  </w:num>
  <w:num w:numId="12" w16cid:durableId="489102433">
    <w:abstractNumId w:val="13"/>
  </w:num>
  <w:num w:numId="13" w16cid:durableId="563371806">
    <w:abstractNumId w:val="11"/>
  </w:num>
  <w:num w:numId="14" w16cid:durableId="1750619557">
    <w:abstractNumId w:val="16"/>
  </w:num>
  <w:num w:numId="15" w16cid:durableId="1752267497">
    <w:abstractNumId w:val="3"/>
  </w:num>
  <w:num w:numId="16" w16cid:durableId="218446760">
    <w:abstractNumId w:val="2"/>
  </w:num>
  <w:num w:numId="17" w16cid:durableId="141391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2003E"/>
    <w:rsid w:val="00025B94"/>
    <w:rsid w:val="00056F29"/>
    <w:rsid w:val="00094697"/>
    <w:rsid w:val="00123B6A"/>
    <w:rsid w:val="00142D84"/>
    <w:rsid w:val="0016027F"/>
    <w:rsid w:val="001A5CCA"/>
    <w:rsid w:val="001A783C"/>
    <w:rsid w:val="001B402C"/>
    <w:rsid w:val="001F131B"/>
    <w:rsid w:val="00202C4F"/>
    <w:rsid w:val="00207031"/>
    <w:rsid w:val="002A336B"/>
    <w:rsid w:val="002B5523"/>
    <w:rsid w:val="002E3C6E"/>
    <w:rsid w:val="002F5A92"/>
    <w:rsid w:val="00342F78"/>
    <w:rsid w:val="00356CA2"/>
    <w:rsid w:val="0039698D"/>
    <w:rsid w:val="003C604C"/>
    <w:rsid w:val="004A632C"/>
    <w:rsid w:val="004C09D7"/>
    <w:rsid w:val="004C32A2"/>
    <w:rsid w:val="004F3DC8"/>
    <w:rsid w:val="00506A08"/>
    <w:rsid w:val="00511DAE"/>
    <w:rsid w:val="00522048"/>
    <w:rsid w:val="0059356B"/>
    <w:rsid w:val="0059742A"/>
    <w:rsid w:val="005A3FEF"/>
    <w:rsid w:val="005B332F"/>
    <w:rsid w:val="005C30D7"/>
    <w:rsid w:val="00611C04"/>
    <w:rsid w:val="00635EE8"/>
    <w:rsid w:val="00720A5A"/>
    <w:rsid w:val="00733CD4"/>
    <w:rsid w:val="007502ED"/>
    <w:rsid w:val="00770BD3"/>
    <w:rsid w:val="00770C78"/>
    <w:rsid w:val="007C0009"/>
    <w:rsid w:val="007E5839"/>
    <w:rsid w:val="00803EE2"/>
    <w:rsid w:val="0081680F"/>
    <w:rsid w:val="008546AC"/>
    <w:rsid w:val="008B620A"/>
    <w:rsid w:val="00973A39"/>
    <w:rsid w:val="0099047A"/>
    <w:rsid w:val="009B49A9"/>
    <w:rsid w:val="009C0987"/>
    <w:rsid w:val="00A07EA9"/>
    <w:rsid w:val="00A13538"/>
    <w:rsid w:val="00A62C4A"/>
    <w:rsid w:val="00A66D5A"/>
    <w:rsid w:val="00AA39DC"/>
    <w:rsid w:val="00AC2C8D"/>
    <w:rsid w:val="00AE173A"/>
    <w:rsid w:val="00B15FF4"/>
    <w:rsid w:val="00B55250"/>
    <w:rsid w:val="00C66648"/>
    <w:rsid w:val="00C831D3"/>
    <w:rsid w:val="00CA40DF"/>
    <w:rsid w:val="00CC156B"/>
    <w:rsid w:val="00CD197C"/>
    <w:rsid w:val="00CF34A8"/>
    <w:rsid w:val="00DC59BE"/>
    <w:rsid w:val="00DD4FCF"/>
    <w:rsid w:val="00E15A0D"/>
    <w:rsid w:val="00EC6D1D"/>
    <w:rsid w:val="00FA5AFD"/>
    <w:rsid w:val="00FD2D89"/>
    <w:rsid w:val="00FD3FB8"/>
    <w:rsid w:val="00FE758C"/>
    <w:rsid w:val="00FE7621"/>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04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0720">
      <w:bodyDiv w:val="1"/>
      <w:marLeft w:val="0"/>
      <w:marRight w:val="0"/>
      <w:marTop w:val="0"/>
      <w:marBottom w:val="0"/>
      <w:divBdr>
        <w:top w:val="none" w:sz="0" w:space="0" w:color="auto"/>
        <w:left w:val="none" w:sz="0" w:space="0" w:color="auto"/>
        <w:bottom w:val="none" w:sz="0" w:space="0" w:color="auto"/>
        <w:right w:val="none" w:sz="0" w:space="0" w:color="auto"/>
      </w:divBdr>
    </w:div>
    <w:div w:id="212044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6262D-31B2-46BF-B9F3-100432B3F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3.xml><?xml version="1.0" encoding="utf-8"?>
<ds:datastoreItem xmlns:ds="http://schemas.openxmlformats.org/officeDocument/2006/customXml" ds:itemID="{A17460B7-7EF4-433F-A5D8-98EF360D7338}">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customXml/itemProps4.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3</cp:revision>
  <dcterms:created xsi:type="dcterms:W3CDTF">2025-02-14T18:31:00Z</dcterms:created>
  <dcterms:modified xsi:type="dcterms:W3CDTF">2025-02-14T18:31:00Z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